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14:paraId="72C7C4C5" w14:textId="77777777" w:rsidTr="00FF4ED8">
        <w:tc>
          <w:tcPr>
            <w:tcW w:w="5935" w:type="dxa"/>
          </w:tcPr>
          <w:p w14:paraId="3D5A7E1A" w14:textId="41613FAE" w:rsidR="00674612" w:rsidRDefault="00091703" w:rsidP="001812AD">
            <w:pPr>
              <w:pStyle w:val="Header"/>
              <w:ind w:left="-288" w:right="-282" w:firstLine="288"/>
              <w:rPr>
                <w:b/>
                <w:color w:val="000000"/>
                <w:sz w:val="40"/>
                <w:szCs w:val="40"/>
              </w:rPr>
            </w:pPr>
            <w:r>
              <w:rPr>
                <w:b/>
                <w:color w:val="000000"/>
                <w:sz w:val="40"/>
                <w:szCs w:val="40"/>
              </w:rPr>
              <w:t>Eligible Training Provider</w:t>
            </w:r>
            <w:r w:rsidR="00674612">
              <w:rPr>
                <w:b/>
                <w:color w:val="000000"/>
                <w:sz w:val="40"/>
                <w:szCs w:val="40"/>
              </w:rPr>
              <w:t xml:space="preserve"> </w:t>
            </w:r>
          </w:p>
          <w:p w14:paraId="74A71C7C" w14:textId="53A471CD" w:rsidR="00685C25" w:rsidRPr="00E54BD1" w:rsidRDefault="00685C25" w:rsidP="001812AD">
            <w:pPr>
              <w:pStyle w:val="Header"/>
              <w:ind w:left="-288" w:right="-282" w:firstLine="288"/>
              <w:rPr>
                <w:b/>
                <w:color w:val="000000"/>
                <w:sz w:val="40"/>
                <w:szCs w:val="40"/>
              </w:rPr>
            </w:pPr>
            <w:r w:rsidRPr="00E54BD1">
              <w:rPr>
                <w:b/>
                <w:color w:val="000000"/>
                <w:sz w:val="40"/>
                <w:szCs w:val="40"/>
              </w:rPr>
              <w:t>Policy</w:t>
            </w:r>
          </w:p>
          <w:p w14:paraId="49FCA706" w14:textId="77777777" w:rsidR="00685C25" w:rsidRDefault="00685C25" w:rsidP="00FF4ED8"/>
        </w:tc>
        <w:tc>
          <w:tcPr>
            <w:tcW w:w="1620" w:type="dxa"/>
          </w:tcPr>
          <w:p w14:paraId="7CA07342" w14:textId="77777777" w:rsidR="00685C25" w:rsidRDefault="00685C25" w:rsidP="00FF4ED8">
            <w:r>
              <w:t xml:space="preserve">Policy No. </w:t>
            </w:r>
          </w:p>
        </w:tc>
        <w:tc>
          <w:tcPr>
            <w:tcW w:w="1795" w:type="dxa"/>
          </w:tcPr>
          <w:p w14:paraId="3272A243" w14:textId="23A64AF3" w:rsidR="00685C25" w:rsidRPr="007D6F57" w:rsidRDefault="00091703" w:rsidP="00FF4ED8">
            <w:pPr>
              <w:rPr>
                <w:sz w:val="56"/>
                <w:szCs w:val="56"/>
              </w:rPr>
            </w:pPr>
            <w:r>
              <w:rPr>
                <w:sz w:val="56"/>
                <w:szCs w:val="56"/>
              </w:rPr>
              <w:t>12</w:t>
            </w:r>
          </w:p>
        </w:tc>
      </w:tr>
      <w:tr w:rsidR="00685C25" w14:paraId="43CDF070" w14:textId="77777777" w:rsidTr="00FF4ED8">
        <w:tc>
          <w:tcPr>
            <w:tcW w:w="5935" w:type="dxa"/>
            <w:vMerge w:val="restart"/>
          </w:tcPr>
          <w:p w14:paraId="74D4B100" w14:textId="77777777"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14:paraId="1E973B86" w14:textId="77777777"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14:paraId="2AD33429" w14:textId="77777777"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14:paraId="0384D061" w14:textId="77777777"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14:paraId="193AD7A8" w14:textId="77777777" w:rsidR="009D2F91" w:rsidRPr="00A93C42" w:rsidRDefault="005423A4"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14:paraId="01700746" w14:textId="77777777" w:rsidR="00685C25" w:rsidRPr="00685C25" w:rsidRDefault="00685C25" w:rsidP="00FF4ED8">
            <w:pPr>
              <w:pStyle w:val="Header"/>
              <w:ind w:left="-288" w:right="-282" w:firstLine="288"/>
              <w:rPr>
                <w:rFonts w:cs="Arial"/>
                <w:sz w:val="18"/>
              </w:rPr>
            </w:pPr>
          </w:p>
        </w:tc>
        <w:tc>
          <w:tcPr>
            <w:tcW w:w="1620" w:type="dxa"/>
          </w:tcPr>
          <w:p w14:paraId="41D3C798" w14:textId="77777777" w:rsidR="00685C25" w:rsidRDefault="00685C25" w:rsidP="00FF4ED8">
            <w:r>
              <w:t>Effective Date</w:t>
            </w:r>
          </w:p>
        </w:tc>
        <w:tc>
          <w:tcPr>
            <w:tcW w:w="1795" w:type="dxa"/>
          </w:tcPr>
          <w:p w14:paraId="749CF0C7" w14:textId="77777777" w:rsidR="00685C25" w:rsidRDefault="00685C25" w:rsidP="00FF4ED8">
            <w:r>
              <w:t>7/1/2017</w:t>
            </w:r>
          </w:p>
        </w:tc>
      </w:tr>
      <w:tr w:rsidR="00685C25" w14:paraId="1F1351DC" w14:textId="77777777" w:rsidTr="00FF4ED8">
        <w:tc>
          <w:tcPr>
            <w:tcW w:w="5935" w:type="dxa"/>
            <w:vMerge/>
          </w:tcPr>
          <w:p w14:paraId="4E8DD320" w14:textId="77777777" w:rsidR="00685C25" w:rsidRPr="00685C25" w:rsidRDefault="00685C25" w:rsidP="00FF4ED8">
            <w:pPr>
              <w:pStyle w:val="Header"/>
              <w:ind w:left="-288" w:right="-282" w:firstLine="288"/>
              <w:rPr>
                <w:rFonts w:cs="Arial"/>
                <w:sz w:val="18"/>
              </w:rPr>
            </w:pPr>
          </w:p>
        </w:tc>
        <w:tc>
          <w:tcPr>
            <w:tcW w:w="1620" w:type="dxa"/>
          </w:tcPr>
          <w:p w14:paraId="31E955AE" w14:textId="77777777" w:rsidR="00685C25" w:rsidRDefault="00685C25" w:rsidP="00FF4ED8">
            <w:r>
              <w:t xml:space="preserve">Supersedes </w:t>
            </w:r>
          </w:p>
        </w:tc>
        <w:tc>
          <w:tcPr>
            <w:tcW w:w="1795" w:type="dxa"/>
          </w:tcPr>
          <w:p w14:paraId="5F88D2FE" w14:textId="519488F5" w:rsidR="00685C25" w:rsidRDefault="00685C25" w:rsidP="00FF4ED8"/>
        </w:tc>
      </w:tr>
      <w:tr w:rsidR="00685C25" w14:paraId="4A8782DD" w14:textId="77777777" w:rsidTr="00FF4ED8">
        <w:tc>
          <w:tcPr>
            <w:tcW w:w="5935" w:type="dxa"/>
            <w:vMerge/>
          </w:tcPr>
          <w:p w14:paraId="43383ADD" w14:textId="77777777" w:rsidR="00685C25" w:rsidRPr="00685C25" w:rsidRDefault="00685C25" w:rsidP="00FF4ED8">
            <w:pPr>
              <w:pStyle w:val="Header"/>
              <w:ind w:left="-288" w:right="-282" w:firstLine="288"/>
              <w:rPr>
                <w:rFonts w:cs="Arial"/>
                <w:sz w:val="18"/>
              </w:rPr>
            </w:pPr>
          </w:p>
        </w:tc>
        <w:tc>
          <w:tcPr>
            <w:tcW w:w="1620" w:type="dxa"/>
          </w:tcPr>
          <w:p w14:paraId="5F37173C" w14:textId="77777777" w:rsidR="00685C25" w:rsidRDefault="00685C25" w:rsidP="00FF4ED8">
            <w:r>
              <w:t>Revision Date</w:t>
            </w:r>
          </w:p>
        </w:tc>
        <w:tc>
          <w:tcPr>
            <w:tcW w:w="1795" w:type="dxa"/>
          </w:tcPr>
          <w:p w14:paraId="5F8348AA" w14:textId="77777777" w:rsidR="00685C25" w:rsidRDefault="00685C25" w:rsidP="00FF4ED8"/>
        </w:tc>
      </w:tr>
      <w:tr w:rsidR="00685C25" w14:paraId="163C6067" w14:textId="77777777" w:rsidTr="00FF4ED8">
        <w:tc>
          <w:tcPr>
            <w:tcW w:w="5935" w:type="dxa"/>
            <w:vMerge/>
          </w:tcPr>
          <w:p w14:paraId="4BB441B5" w14:textId="77777777" w:rsidR="00685C25" w:rsidRPr="00685C25" w:rsidRDefault="00685C25" w:rsidP="00FF4ED8">
            <w:pPr>
              <w:pStyle w:val="Header"/>
              <w:ind w:left="-288" w:right="-282" w:firstLine="288"/>
              <w:rPr>
                <w:rFonts w:cs="Arial"/>
                <w:sz w:val="18"/>
              </w:rPr>
            </w:pPr>
          </w:p>
        </w:tc>
        <w:tc>
          <w:tcPr>
            <w:tcW w:w="1620" w:type="dxa"/>
          </w:tcPr>
          <w:p w14:paraId="5D49AC65" w14:textId="77777777" w:rsidR="00685C25" w:rsidRDefault="00685C25" w:rsidP="00FF4ED8">
            <w:r>
              <w:t xml:space="preserve">Revision No. </w:t>
            </w:r>
          </w:p>
        </w:tc>
        <w:tc>
          <w:tcPr>
            <w:tcW w:w="1795" w:type="dxa"/>
          </w:tcPr>
          <w:p w14:paraId="6E679141" w14:textId="77777777" w:rsidR="00685C25" w:rsidRDefault="00685C25" w:rsidP="00FF4ED8"/>
        </w:tc>
      </w:tr>
      <w:tr w:rsidR="00685C25" w14:paraId="57ECAA09" w14:textId="77777777" w:rsidTr="00FF4ED8">
        <w:tc>
          <w:tcPr>
            <w:tcW w:w="5935" w:type="dxa"/>
            <w:vMerge/>
          </w:tcPr>
          <w:p w14:paraId="254B1793" w14:textId="77777777" w:rsidR="00685C25" w:rsidRDefault="00685C25" w:rsidP="00FF4ED8"/>
        </w:tc>
        <w:tc>
          <w:tcPr>
            <w:tcW w:w="1620" w:type="dxa"/>
          </w:tcPr>
          <w:p w14:paraId="4CD4392B" w14:textId="77777777" w:rsidR="00685C25" w:rsidRDefault="00685C25" w:rsidP="00FF4ED8">
            <w:r>
              <w:t xml:space="preserve">Approval </w:t>
            </w:r>
          </w:p>
        </w:tc>
        <w:tc>
          <w:tcPr>
            <w:tcW w:w="1795" w:type="dxa"/>
          </w:tcPr>
          <w:p w14:paraId="04A20D80" w14:textId="77777777" w:rsidR="00685C25" w:rsidRDefault="00685C25" w:rsidP="00FF4ED8">
            <w:r>
              <w:t xml:space="preserve">GNWDB </w:t>
            </w:r>
          </w:p>
        </w:tc>
      </w:tr>
    </w:tbl>
    <w:p w14:paraId="2D440080" w14:textId="77777777" w:rsidR="00685C25" w:rsidRDefault="00685C25" w:rsidP="00685C25">
      <w:pPr>
        <w:spacing w:after="0" w:line="240" w:lineRule="auto"/>
        <w:rPr>
          <w:rFonts w:eastAsia="Times New Roman" w:cs="Times New Roman"/>
          <w:b/>
          <w:u w:val="single"/>
        </w:rPr>
      </w:pPr>
    </w:p>
    <w:p w14:paraId="24D3F130" w14:textId="77777777" w:rsidR="00685C25" w:rsidRPr="00685C25" w:rsidRDefault="00685C25" w:rsidP="00E124F8">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14:paraId="19BD8960" w14:textId="64EF2AB3" w:rsidR="004012C3" w:rsidRPr="00DD030D" w:rsidRDefault="004012C3" w:rsidP="00DD030D">
      <w:pPr>
        <w:autoSpaceDE w:val="0"/>
        <w:autoSpaceDN w:val="0"/>
        <w:adjustRightInd w:val="0"/>
        <w:jc w:val="both"/>
        <w:rPr>
          <w:rFonts w:cs="Arial"/>
          <w:color w:val="000000"/>
        </w:rPr>
      </w:pPr>
      <w:r>
        <w:rPr>
          <w:rFonts w:cs="Arial"/>
          <w:color w:val="000000"/>
        </w:rPr>
        <w:t xml:space="preserve">NDOL </w:t>
      </w:r>
      <w:r w:rsidRPr="004012C3">
        <w:rPr>
          <w:rFonts w:cs="Arial"/>
          <w:color w:val="000000"/>
        </w:rPr>
        <w:t>Interim Policy on Eligible Training Provider Initial and Continued Eligibility</w:t>
      </w:r>
    </w:p>
    <w:p w14:paraId="1B6283F8" w14:textId="77777777" w:rsidR="00685C25" w:rsidRPr="00685C25" w:rsidRDefault="00685C25" w:rsidP="00E124F8">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14:paraId="6F8B0CA5" w14:textId="458D9DE5" w:rsidR="00DD030D" w:rsidRPr="00685C25" w:rsidRDefault="00DD030D" w:rsidP="00DD030D">
      <w:pPr>
        <w:spacing w:after="0" w:line="240" w:lineRule="auto"/>
        <w:rPr>
          <w:rFonts w:eastAsia="Times New Roman" w:cs="Times New Roman"/>
        </w:rPr>
      </w:pPr>
      <w:r>
        <w:rPr>
          <w:rFonts w:eastAsia="Times New Roman" w:cs="Times New Roman"/>
        </w:rPr>
        <w:t>This policy identifies the responsibilities for maintaining and accessing Nebraska’s Eligible Training Provider program in the</w:t>
      </w:r>
      <w:r w:rsidRPr="00685C25">
        <w:rPr>
          <w:rFonts w:eastAsia="Times New Roman" w:cs="Times New Roman"/>
        </w:rPr>
        <w:t xml:space="preserve"> local area. </w:t>
      </w:r>
    </w:p>
    <w:p w14:paraId="7503737D" w14:textId="77777777" w:rsidR="006C784E" w:rsidRDefault="006C784E" w:rsidP="00E124F8">
      <w:pPr>
        <w:spacing w:after="0" w:line="240" w:lineRule="auto"/>
        <w:jc w:val="both"/>
        <w:rPr>
          <w:rFonts w:eastAsia="+mn-ea" w:cs="Times New Roman"/>
          <w:b/>
          <w:bCs/>
          <w:color w:val="00607F"/>
          <w:kern w:val="24"/>
          <w:sz w:val="28"/>
          <w:szCs w:val="28"/>
          <w:u w:val="single"/>
        </w:rPr>
      </w:pPr>
    </w:p>
    <w:p w14:paraId="0A7ACF76" w14:textId="77777777" w:rsidR="00685C25" w:rsidRPr="00685C25" w:rsidRDefault="00685C25" w:rsidP="00E124F8">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14:paraId="05C8DEAB" w14:textId="4F772ABC" w:rsidR="006C784E" w:rsidRDefault="006C784E" w:rsidP="00E124F8">
      <w:pPr>
        <w:spacing w:after="0" w:line="240" w:lineRule="auto"/>
        <w:jc w:val="both"/>
      </w:pPr>
      <w:r w:rsidRPr="006C784E">
        <w:t xml:space="preserve">The Workforce Innovation and Opportunity Act mandates that </w:t>
      </w:r>
      <w:r w:rsidR="005423A4">
        <w:t xml:space="preserve">an Eligible Training Provider List be maintained. </w:t>
      </w:r>
    </w:p>
    <w:p w14:paraId="00B8E007" w14:textId="77777777" w:rsidR="005423A4" w:rsidRDefault="005423A4" w:rsidP="00E124F8">
      <w:pPr>
        <w:spacing w:after="0" w:line="240" w:lineRule="auto"/>
        <w:jc w:val="both"/>
        <w:rPr>
          <w:rFonts w:eastAsia="Times New Roman" w:cs="Times New Roman"/>
        </w:rPr>
      </w:pPr>
    </w:p>
    <w:p w14:paraId="4E7BFC4E" w14:textId="77777777" w:rsidR="00685C25" w:rsidRPr="009D2F91" w:rsidRDefault="00685C25" w:rsidP="00E124F8">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bookmarkStart w:id="0" w:name="_GoBack"/>
      <w:bookmarkEnd w:id="0"/>
    </w:p>
    <w:p w14:paraId="2F05AAD7" w14:textId="77777777" w:rsidR="00391E82" w:rsidRPr="00E7754D" w:rsidRDefault="00391E82" w:rsidP="00391E82">
      <w:pPr>
        <w:pStyle w:val="Default"/>
        <w:jc w:val="both"/>
        <w:rPr>
          <w:rFonts w:ascii="Times New Roman" w:hAnsi="Times New Roman" w:cs="Times New Roman"/>
          <w:sz w:val="22"/>
          <w:szCs w:val="22"/>
        </w:rPr>
      </w:pPr>
      <w:r>
        <w:rPr>
          <w:rFonts w:ascii="Times New Roman" w:eastAsia="Times New Roman" w:hAnsi="Times New Roman" w:cs="Times New Roman"/>
          <w:sz w:val="22"/>
          <w:szCs w:val="22"/>
        </w:rPr>
        <w:t>Effective 7/1/2017, the Administrative Entity, NDOL finance staff, and related</w:t>
      </w:r>
      <w:r w:rsidRPr="00E7754D">
        <w:rPr>
          <w:rFonts w:ascii="Times New Roman" w:eastAsia="Times New Roman" w:hAnsi="Times New Roman" w:cs="Times New Roman"/>
          <w:sz w:val="22"/>
          <w:szCs w:val="22"/>
        </w:rPr>
        <w:t xml:space="preserve"> service provider staff must implement this policy. </w:t>
      </w:r>
      <w:r w:rsidRPr="00E7754D">
        <w:rPr>
          <w:rFonts w:ascii="Times New Roman" w:hAnsi="Times New Roman" w:cs="Times New Roman"/>
          <w:sz w:val="22"/>
          <w:szCs w:val="22"/>
        </w:rPr>
        <w:t xml:space="preserve">Questions and comments should be submitted in writing to the Greater Nebraska WIOA Mailbox: </w:t>
      </w:r>
      <w:hyperlink r:id="rId9" w:history="1">
        <w:r w:rsidRPr="00E7754D">
          <w:rPr>
            <w:rStyle w:val="Hyperlink"/>
            <w:rFonts w:ascii="Times New Roman" w:hAnsi="Times New Roman" w:cs="Times New Roman"/>
            <w:sz w:val="22"/>
            <w:szCs w:val="22"/>
          </w:rPr>
          <w:t>ndol.greaternebraska@nebraska.gov</w:t>
        </w:r>
      </w:hyperlink>
      <w:r w:rsidRPr="00E7754D">
        <w:rPr>
          <w:rFonts w:ascii="Times New Roman" w:hAnsi="Times New Roman" w:cs="Times New Roman"/>
          <w:sz w:val="22"/>
          <w:szCs w:val="22"/>
        </w:rPr>
        <w:t xml:space="preserve">. </w:t>
      </w:r>
    </w:p>
    <w:p w14:paraId="4F5FECDC" w14:textId="77777777" w:rsidR="009E5E0D" w:rsidRPr="00685C25" w:rsidRDefault="009E5E0D" w:rsidP="00E124F8">
      <w:pPr>
        <w:spacing w:after="0" w:line="240" w:lineRule="auto"/>
        <w:jc w:val="both"/>
        <w:rPr>
          <w:rFonts w:eastAsia="Times New Roman" w:cs="Times New Roman"/>
        </w:rPr>
      </w:pPr>
    </w:p>
    <w:p w14:paraId="2E0EA3F1" w14:textId="77777777" w:rsidR="00685C25" w:rsidRPr="00685C25" w:rsidRDefault="00685C25" w:rsidP="00E124F8">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14:paraId="55E100BE" w14:textId="2792DCB6" w:rsidR="00E945B2" w:rsidRPr="00E945B2" w:rsidRDefault="00E945B2" w:rsidP="00E945B2">
      <w:pPr>
        <w:spacing w:after="0" w:line="240" w:lineRule="auto"/>
        <w:jc w:val="both"/>
        <w:rPr>
          <w:rFonts w:eastAsia="Times New Roman" w:cs="Times New Roman"/>
          <w:color w:val="000000"/>
          <w:sz w:val="24"/>
          <w:szCs w:val="24"/>
        </w:rPr>
      </w:pPr>
      <w:r w:rsidRPr="00E945B2">
        <w:rPr>
          <w:rFonts w:eastAsia="Times New Roman" w:cs="Times New Roman"/>
          <w:color w:val="000000"/>
          <w:sz w:val="24"/>
          <w:szCs w:val="24"/>
        </w:rPr>
        <w:t>The G</w:t>
      </w:r>
      <w:r w:rsidRPr="00391E82">
        <w:rPr>
          <w:rFonts w:eastAsia="Times New Roman" w:cs="Times New Roman"/>
          <w:color w:val="000000"/>
          <w:sz w:val="24"/>
          <w:szCs w:val="24"/>
        </w:rPr>
        <w:t>overnor has designated Nebraska Department of Labor (NDOL)</w:t>
      </w:r>
      <w:r w:rsidRPr="00E945B2">
        <w:rPr>
          <w:rFonts w:eastAsia="Times New Roman" w:cs="Times New Roman"/>
          <w:color w:val="000000"/>
          <w:sz w:val="24"/>
          <w:szCs w:val="24"/>
        </w:rPr>
        <w:t xml:space="preserve"> as the agency responsible for determining the eligibility of training providers.  NDOL plays a leadership role in ensuring the success of the Nebraska </w:t>
      </w:r>
      <w:r w:rsidRPr="00391E82">
        <w:rPr>
          <w:rFonts w:eastAsia="Times New Roman" w:cs="Times New Roman"/>
          <w:color w:val="000000"/>
          <w:sz w:val="24"/>
          <w:szCs w:val="24"/>
        </w:rPr>
        <w:t>Eligible Training Provider (ETP)</w:t>
      </w:r>
      <w:r w:rsidRPr="00E945B2">
        <w:rPr>
          <w:rFonts w:eastAsia="Times New Roman" w:cs="Times New Roman"/>
          <w:color w:val="000000"/>
          <w:sz w:val="24"/>
          <w:szCs w:val="24"/>
        </w:rPr>
        <w:t xml:space="preserve"> program in partnership with local boards and the one-stop delivery system and its partners. </w:t>
      </w:r>
    </w:p>
    <w:p w14:paraId="2DA6AD50" w14:textId="77777777" w:rsidR="00E945B2" w:rsidRPr="00391E82" w:rsidRDefault="00E945B2" w:rsidP="00D17609">
      <w:pPr>
        <w:spacing w:after="0" w:line="240" w:lineRule="auto"/>
        <w:jc w:val="both"/>
        <w:rPr>
          <w:sz w:val="24"/>
          <w:szCs w:val="24"/>
        </w:rPr>
      </w:pPr>
    </w:p>
    <w:p w14:paraId="0C6F7CE8" w14:textId="0D0A4EBB" w:rsidR="00D17609" w:rsidRPr="00391E82" w:rsidRDefault="00D17609" w:rsidP="00D17609">
      <w:pPr>
        <w:spacing w:after="0" w:line="240" w:lineRule="auto"/>
        <w:jc w:val="both"/>
        <w:rPr>
          <w:rFonts w:cs="Times New Roman"/>
          <w:b/>
          <w:color w:val="000000"/>
          <w:sz w:val="24"/>
          <w:szCs w:val="24"/>
        </w:rPr>
      </w:pPr>
      <w:r w:rsidRPr="00391E82">
        <w:rPr>
          <w:rFonts w:cs="Times New Roman"/>
          <w:b/>
          <w:color w:val="000000"/>
          <w:sz w:val="24"/>
          <w:szCs w:val="24"/>
        </w:rPr>
        <w:t>P</w:t>
      </w:r>
      <w:r w:rsidR="00E945B2" w:rsidRPr="00391E82">
        <w:rPr>
          <w:rFonts w:cs="Times New Roman"/>
          <w:b/>
          <w:color w:val="000000"/>
          <w:sz w:val="24"/>
          <w:szCs w:val="24"/>
        </w:rPr>
        <w:t>roviders on the ETP list</w:t>
      </w:r>
      <w:r w:rsidRPr="00391E82">
        <w:rPr>
          <w:rFonts w:cs="Times New Roman"/>
          <w:b/>
          <w:color w:val="000000"/>
          <w:sz w:val="24"/>
          <w:szCs w:val="24"/>
        </w:rPr>
        <w:t xml:space="preserve"> are the ONLY entities eligible to receive funding through </w:t>
      </w:r>
      <w:r w:rsidRPr="00391E82">
        <w:rPr>
          <w:rFonts w:cs="Times New Roman"/>
          <w:b/>
          <w:color w:val="000000"/>
          <w:sz w:val="24"/>
          <w:szCs w:val="24"/>
        </w:rPr>
        <w:t xml:space="preserve">Individual </w:t>
      </w:r>
      <w:r w:rsidRPr="00391E82">
        <w:rPr>
          <w:rFonts w:cs="Times New Roman"/>
          <w:b/>
          <w:color w:val="000000"/>
          <w:sz w:val="24"/>
          <w:szCs w:val="24"/>
        </w:rPr>
        <w:t>T</w:t>
      </w:r>
      <w:r w:rsidRPr="00391E82">
        <w:rPr>
          <w:rFonts w:cs="Times New Roman"/>
          <w:b/>
          <w:color w:val="000000"/>
          <w:sz w:val="24"/>
          <w:szCs w:val="24"/>
        </w:rPr>
        <w:t xml:space="preserve">raining </w:t>
      </w:r>
      <w:r w:rsidRPr="00391E82">
        <w:rPr>
          <w:rFonts w:cs="Times New Roman"/>
          <w:b/>
          <w:color w:val="000000"/>
          <w:sz w:val="24"/>
          <w:szCs w:val="24"/>
        </w:rPr>
        <w:t>A</w:t>
      </w:r>
      <w:r w:rsidRPr="00391E82">
        <w:rPr>
          <w:rFonts w:cs="Times New Roman"/>
          <w:b/>
          <w:color w:val="000000"/>
          <w:sz w:val="24"/>
          <w:szCs w:val="24"/>
        </w:rPr>
        <w:t xml:space="preserve">ccounts </w:t>
      </w:r>
      <w:r w:rsidRPr="00391E82">
        <w:rPr>
          <w:sz w:val="24"/>
          <w:szCs w:val="24"/>
        </w:rPr>
        <w:t>(except for limited exception identified in the</w:t>
      </w:r>
      <w:r w:rsidRPr="00391E82">
        <w:rPr>
          <w:sz w:val="24"/>
          <w:szCs w:val="24"/>
        </w:rPr>
        <w:t xml:space="preserve"> policy 10,</w:t>
      </w:r>
      <w:r w:rsidRPr="00391E82">
        <w:rPr>
          <w:sz w:val="24"/>
          <w:szCs w:val="24"/>
        </w:rPr>
        <w:t xml:space="preserve"> Contracting with Training Providers Policy)</w:t>
      </w:r>
      <w:r w:rsidRPr="00391E82">
        <w:rPr>
          <w:rFonts w:cs="Times New Roman"/>
          <w:b/>
          <w:color w:val="000000"/>
          <w:sz w:val="24"/>
          <w:szCs w:val="24"/>
        </w:rPr>
        <w:t xml:space="preserve">. </w:t>
      </w:r>
      <w:r w:rsidRPr="00391E82">
        <w:rPr>
          <w:rStyle w:val="FootnoteReference"/>
          <w:rFonts w:cs="Times New Roman"/>
          <w:b/>
          <w:color w:val="000000"/>
          <w:sz w:val="24"/>
          <w:szCs w:val="24"/>
        </w:rPr>
        <w:footnoteReference w:id="1"/>
      </w:r>
    </w:p>
    <w:p w14:paraId="76A501C1" w14:textId="77777777" w:rsidR="004A00AC" w:rsidRPr="00391E82" w:rsidRDefault="004A00AC" w:rsidP="00D17609">
      <w:pPr>
        <w:spacing w:after="0" w:line="240" w:lineRule="auto"/>
        <w:jc w:val="both"/>
        <w:rPr>
          <w:rFonts w:cs="Times New Roman"/>
          <w:b/>
          <w:color w:val="000000"/>
          <w:sz w:val="24"/>
          <w:szCs w:val="24"/>
        </w:rPr>
      </w:pPr>
    </w:p>
    <w:p w14:paraId="3341328A" w14:textId="3BB92A47" w:rsidR="004A00AC" w:rsidRPr="00391E82" w:rsidRDefault="004A00AC" w:rsidP="00D17609">
      <w:pPr>
        <w:spacing w:after="0" w:line="240" w:lineRule="auto"/>
        <w:jc w:val="both"/>
        <w:rPr>
          <w:rFonts w:cs="Times New Roman"/>
          <w:color w:val="000000"/>
          <w:sz w:val="24"/>
          <w:szCs w:val="24"/>
        </w:rPr>
      </w:pPr>
      <w:r w:rsidRPr="00391E82">
        <w:rPr>
          <w:rFonts w:cs="Times New Roman"/>
          <w:color w:val="000000"/>
          <w:sz w:val="24"/>
          <w:szCs w:val="24"/>
        </w:rPr>
        <w:t xml:space="preserve">For additional information about ITA’s, see policy 14, Individual Training Accounts. </w:t>
      </w:r>
    </w:p>
    <w:p w14:paraId="6F92AED0" w14:textId="77777777" w:rsidR="00E945B2" w:rsidRPr="00391E82" w:rsidRDefault="00E945B2" w:rsidP="00D17609">
      <w:pPr>
        <w:spacing w:after="0" w:line="240" w:lineRule="auto"/>
        <w:jc w:val="both"/>
        <w:rPr>
          <w:rFonts w:cs="Times New Roman"/>
          <w:b/>
          <w:color w:val="000000"/>
          <w:sz w:val="24"/>
          <w:szCs w:val="24"/>
        </w:rPr>
      </w:pPr>
    </w:p>
    <w:p w14:paraId="6C028859" w14:textId="3236FCEB" w:rsidR="00095768" w:rsidRPr="00391E82" w:rsidRDefault="00095768" w:rsidP="00095768">
      <w:pPr>
        <w:jc w:val="both"/>
        <w:rPr>
          <w:rFonts w:cs="Arial"/>
          <w:sz w:val="24"/>
          <w:szCs w:val="24"/>
        </w:rPr>
      </w:pPr>
      <w:r w:rsidRPr="00391E82">
        <w:rPr>
          <w:rFonts w:eastAsia="Times New Roman" w:cs="Times New Roman"/>
          <w:color w:val="000000"/>
          <w:sz w:val="24"/>
          <w:szCs w:val="24"/>
        </w:rPr>
        <w:t xml:space="preserve">The Greater Nebraska Workforce Development Board (GNWDB) has a </w:t>
      </w:r>
      <w:r w:rsidRPr="00391E82">
        <w:rPr>
          <w:rFonts w:cs="Arial"/>
          <w:sz w:val="24"/>
          <w:szCs w:val="24"/>
        </w:rPr>
        <w:t>statutory</w:t>
      </w:r>
      <w:r w:rsidRPr="00391E82">
        <w:rPr>
          <w:rFonts w:cs="Arial"/>
          <w:sz w:val="24"/>
          <w:szCs w:val="24"/>
        </w:rPr>
        <w:t xml:space="preserve"> </w:t>
      </w:r>
      <w:r w:rsidRPr="00391E82">
        <w:rPr>
          <w:rFonts w:cs="Arial"/>
          <w:sz w:val="24"/>
          <w:szCs w:val="24"/>
        </w:rPr>
        <w:t>responsibly</w:t>
      </w:r>
      <w:r w:rsidRPr="00391E82">
        <w:rPr>
          <w:rFonts w:cs="Arial"/>
          <w:sz w:val="24"/>
          <w:szCs w:val="24"/>
        </w:rPr>
        <w:t xml:space="preserve"> related to Nebraska’s ETP program and must:</w:t>
      </w:r>
      <w:r w:rsidRPr="00391E82">
        <w:rPr>
          <w:rStyle w:val="FootnoteReference"/>
          <w:rFonts w:cs="Arial"/>
          <w:sz w:val="24"/>
          <w:szCs w:val="24"/>
        </w:rPr>
        <w:footnoteReference w:id="2"/>
      </w:r>
    </w:p>
    <w:p w14:paraId="4973A373" w14:textId="77777777" w:rsidR="00095768" w:rsidRPr="00391E82" w:rsidRDefault="00095768" w:rsidP="00095768">
      <w:pPr>
        <w:pStyle w:val="ListParagraph"/>
        <w:numPr>
          <w:ilvl w:val="0"/>
          <w:numId w:val="32"/>
        </w:numPr>
        <w:spacing w:after="0" w:line="240" w:lineRule="auto"/>
        <w:jc w:val="both"/>
        <w:rPr>
          <w:rFonts w:cs="Arial"/>
          <w:sz w:val="24"/>
          <w:szCs w:val="24"/>
        </w:rPr>
      </w:pPr>
      <w:r w:rsidRPr="00391E82">
        <w:rPr>
          <w:rFonts w:cs="Arial"/>
          <w:sz w:val="24"/>
          <w:szCs w:val="24"/>
        </w:rPr>
        <w:t>carry out ETP-related procedures and practices assigned by NDOL;</w:t>
      </w:r>
    </w:p>
    <w:p w14:paraId="745253CE" w14:textId="77777777" w:rsidR="00095768" w:rsidRPr="00391E82" w:rsidRDefault="00095768" w:rsidP="00095768">
      <w:pPr>
        <w:pStyle w:val="ListParagraph"/>
        <w:numPr>
          <w:ilvl w:val="0"/>
          <w:numId w:val="32"/>
        </w:numPr>
        <w:spacing w:after="0" w:line="240" w:lineRule="auto"/>
        <w:jc w:val="both"/>
        <w:rPr>
          <w:rFonts w:cs="Arial"/>
          <w:sz w:val="24"/>
          <w:szCs w:val="24"/>
        </w:rPr>
      </w:pPr>
      <w:r w:rsidRPr="00391E82">
        <w:rPr>
          <w:rFonts w:cs="Arial"/>
          <w:sz w:val="24"/>
          <w:szCs w:val="24"/>
        </w:rPr>
        <w:t xml:space="preserve">work with NDOL to ensure sufficient numbers and types of providers serving the local area, including providers with expertise in serving individuals with disabilities and adults in need of education and literacy activities; and </w:t>
      </w:r>
    </w:p>
    <w:p w14:paraId="074D1096" w14:textId="6413848C" w:rsidR="00095768" w:rsidRPr="00391E82" w:rsidRDefault="00095768" w:rsidP="00095768">
      <w:pPr>
        <w:pStyle w:val="ListParagraph"/>
        <w:numPr>
          <w:ilvl w:val="0"/>
          <w:numId w:val="32"/>
        </w:numPr>
        <w:spacing w:after="0" w:line="240" w:lineRule="auto"/>
        <w:jc w:val="both"/>
        <w:rPr>
          <w:rFonts w:cs="Arial"/>
          <w:sz w:val="24"/>
          <w:szCs w:val="24"/>
        </w:rPr>
      </w:pPr>
      <w:proofErr w:type="gramStart"/>
      <w:r w:rsidRPr="00391E82">
        <w:rPr>
          <w:rFonts w:cs="Arial"/>
          <w:sz w:val="24"/>
          <w:szCs w:val="24"/>
        </w:rPr>
        <w:t>ensure</w:t>
      </w:r>
      <w:proofErr w:type="gramEnd"/>
      <w:r w:rsidRPr="00391E82">
        <w:rPr>
          <w:rFonts w:cs="Arial"/>
          <w:sz w:val="24"/>
          <w:szCs w:val="24"/>
        </w:rPr>
        <w:t xml:space="preserve"> the dissemination and appropriate use of the ETPL through the local one-stop delivery system.</w:t>
      </w:r>
    </w:p>
    <w:p w14:paraId="5BD0DEE0" w14:textId="77777777" w:rsidR="00095768" w:rsidRPr="00391E82" w:rsidRDefault="00095768" w:rsidP="00095768">
      <w:pPr>
        <w:pStyle w:val="ListParagraph"/>
        <w:spacing w:after="0" w:line="240" w:lineRule="auto"/>
        <w:jc w:val="both"/>
        <w:rPr>
          <w:rFonts w:cs="Arial"/>
          <w:sz w:val="24"/>
          <w:szCs w:val="24"/>
        </w:rPr>
      </w:pPr>
    </w:p>
    <w:p w14:paraId="3FF604E5" w14:textId="5DD2BB30" w:rsidR="00095768" w:rsidRPr="00391E82" w:rsidRDefault="00095768" w:rsidP="00095768">
      <w:pPr>
        <w:jc w:val="both"/>
        <w:rPr>
          <w:rFonts w:cs="Arial"/>
          <w:sz w:val="24"/>
          <w:szCs w:val="24"/>
        </w:rPr>
      </w:pPr>
      <w:r w:rsidRPr="00391E82">
        <w:rPr>
          <w:rFonts w:cs="Arial"/>
          <w:sz w:val="24"/>
          <w:szCs w:val="24"/>
        </w:rPr>
        <w:t xml:space="preserve">In addition, </w:t>
      </w:r>
      <w:r w:rsidRPr="00391E82">
        <w:rPr>
          <w:rFonts w:cs="Arial"/>
          <w:sz w:val="24"/>
          <w:szCs w:val="24"/>
        </w:rPr>
        <w:t>the GNWDB</w:t>
      </w:r>
      <w:r w:rsidRPr="00391E82">
        <w:rPr>
          <w:rFonts w:cs="Arial"/>
          <w:sz w:val="24"/>
          <w:szCs w:val="24"/>
        </w:rPr>
        <w:t xml:space="preserve"> </w:t>
      </w:r>
      <w:proofErr w:type="spellStart"/>
      <w:r w:rsidRPr="00391E82">
        <w:rPr>
          <w:rFonts w:cs="Arial"/>
          <w:sz w:val="24"/>
          <w:szCs w:val="24"/>
        </w:rPr>
        <w:t>may</w:t>
      </w:r>
      <w:proofErr w:type="spellEnd"/>
      <w:r w:rsidRPr="00391E82">
        <w:rPr>
          <w:rFonts w:cs="Arial"/>
          <w:sz w:val="24"/>
          <w:szCs w:val="24"/>
        </w:rPr>
        <w:t>:</w:t>
      </w:r>
    </w:p>
    <w:p w14:paraId="5C26A2B3" w14:textId="77777777" w:rsidR="00095768" w:rsidRPr="00391E82" w:rsidRDefault="00095768" w:rsidP="00095768">
      <w:pPr>
        <w:pStyle w:val="ListParagraph"/>
        <w:numPr>
          <w:ilvl w:val="0"/>
          <w:numId w:val="32"/>
        </w:numPr>
        <w:spacing w:after="0" w:line="240" w:lineRule="auto"/>
        <w:jc w:val="both"/>
        <w:rPr>
          <w:rFonts w:cs="Arial"/>
          <w:sz w:val="24"/>
          <w:szCs w:val="24"/>
        </w:rPr>
      </w:pPr>
      <w:r w:rsidRPr="00391E82">
        <w:rPr>
          <w:rFonts w:cs="Arial"/>
          <w:sz w:val="24"/>
          <w:szCs w:val="24"/>
        </w:rPr>
        <w:t xml:space="preserve">make recommendations to NDOL on the procedures used in determining eligibility; </w:t>
      </w:r>
    </w:p>
    <w:p w14:paraId="5451C5F1" w14:textId="479F54F3" w:rsidR="00E42B5B" w:rsidRPr="00391E82" w:rsidRDefault="00095768" w:rsidP="00E42B5B">
      <w:pPr>
        <w:pStyle w:val="ListParagraph"/>
        <w:numPr>
          <w:ilvl w:val="0"/>
          <w:numId w:val="32"/>
        </w:numPr>
        <w:spacing w:after="0" w:line="240" w:lineRule="auto"/>
        <w:jc w:val="both"/>
        <w:rPr>
          <w:rFonts w:cs="Arial"/>
          <w:sz w:val="24"/>
          <w:szCs w:val="24"/>
        </w:rPr>
      </w:pPr>
      <w:proofErr w:type="gramStart"/>
      <w:r w:rsidRPr="00391E82">
        <w:rPr>
          <w:rFonts w:cs="Arial"/>
          <w:sz w:val="24"/>
          <w:szCs w:val="24"/>
        </w:rPr>
        <w:t>require</w:t>
      </w:r>
      <w:proofErr w:type="gramEnd"/>
      <w:r w:rsidRPr="00391E82">
        <w:rPr>
          <w:rFonts w:cs="Arial"/>
          <w:sz w:val="24"/>
          <w:szCs w:val="24"/>
        </w:rPr>
        <w:t xml:space="preserve"> additional criteria and information from providers and set higher levels of performance than those established by NDOL as criteria for local providers to become or remain eligible to receive local area ITA funds for the provision of training services.</w:t>
      </w:r>
    </w:p>
    <w:p w14:paraId="61F69918" w14:textId="77777777" w:rsidR="0098020E" w:rsidRDefault="0098020E" w:rsidP="004C3629">
      <w:pPr>
        <w:spacing w:after="0" w:line="240" w:lineRule="auto"/>
        <w:jc w:val="both"/>
        <w:rPr>
          <w:rFonts w:cs="Times New Roman"/>
          <w:color w:val="000000"/>
        </w:rPr>
      </w:pPr>
    </w:p>
    <w:p w14:paraId="2938FEF3" w14:textId="0BEE35F1" w:rsidR="00391E82" w:rsidRPr="00391E82" w:rsidRDefault="00ED3E98" w:rsidP="007A6585">
      <w:pPr>
        <w:spacing w:after="0" w:line="240" w:lineRule="auto"/>
        <w:jc w:val="both"/>
        <w:rPr>
          <w:rFonts w:cs="Times New Roman"/>
          <w:color w:val="000000"/>
        </w:rPr>
      </w:pPr>
      <w:r w:rsidRPr="00ED3E98">
        <w:rPr>
          <w:rFonts w:cs="Times New Roman"/>
          <w:color w:val="000000"/>
          <w:sz w:val="24"/>
          <w:szCs w:val="24"/>
          <w:lang w:val="en"/>
        </w:rPr>
        <w:t>Nebraska’s ETPL</w:t>
      </w:r>
      <w:r>
        <w:rPr>
          <w:rFonts w:cs="Times New Roman"/>
          <w:color w:val="000000"/>
          <w:sz w:val="24"/>
          <w:szCs w:val="24"/>
          <w:lang w:val="en"/>
        </w:rPr>
        <w:t xml:space="preserve"> is accessible online at </w:t>
      </w:r>
      <w:hyperlink r:id="rId10" w:history="1">
        <w:r w:rsidRPr="00ED3E98">
          <w:rPr>
            <w:rStyle w:val="Hyperlink"/>
            <w:rFonts w:cs="Times New Roman"/>
            <w:sz w:val="24"/>
            <w:szCs w:val="24"/>
            <w:lang w:val="en"/>
          </w:rPr>
          <w:t>NEworks.nebraska.gov</w:t>
        </w:r>
      </w:hyperlink>
      <w:r>
        <w:rPr>
          <w:rFonts w:cs="Times New Roman"/>
          <w:color w:val="000000"/>
          <w:sz w:val="24"/>
          <w:szCs w:val="24"/>
          <w:lang w:val="en"/>
        </w:rPr>
        <w:t xml:space="preserve"> </w:t>
      </w:r>
      <w:r w:rsidRPr="00ED3E98">
        <w:rPr>
          <w:rFonts w:cs="Times New Roman"/>
          <w:color w:val="000000"/>
          <w:sz w:val="24"/>
          <w:szCs w:val="24"/>
          <w:lang w:val="en"/>
        </w:rPr>
        <w:t>under the Education Services menu, look for ETPL Approved Programs</w:t>
      </w:r>
      <w:r w:rsidRPr="00ED3E98">
        <w:rPr>
          <w:rFonts w:cs="Arial"/>
          <w:color w:val="000000"/>
          <w:sz w:val="21"/>
          <w:szCs w:val="21"/>
          <w:lang w:val="en"/>
        </w:rPr>
        <w:t>.</w:t>
      </w:r>
      <w:r>
        <w:rPr>
          <w:rFonts w:cs="Times New Roman"/>
          <w:color w:val="000000"/>
        </w:rPr>
        <w:t xml:space="preserve"> </w:t>
      </w:r>
      <w:r w:rsidR="0098020E">
        <w:rPr>
          <w:rFonts w:cs="Times New Roman"/>
          <w:color w:val="000000"/>
        </w:rPr>
        <w:t>This list is published quarterly by the Nebraska Department of Labor (NDOL).</w:t>
      </w:r>
      <w:r w:rsidR="00E42B5B">
        <w:rPr>
          <w:rFonts w:cs="Times New Roman"/>
          <w:color w:val="000000"/>
        </w:rPr>
        <w:t xml:space="preserve"> Training providers that would like be included on the ETPL can learn more at </w:t>
      </w:r>
      <w:hyperlink r:id="rId11" w:history="1">
        <w:r w:rsidR="00E42B5B" w:rsidRPr="000260C6">
          <w:rPr>
            <w:rStyle w:val="Hyperlink"/>
            <w:rFonts w:cs="Times New Roman"/>
          </w:rPr>
          <w:t>dol.nebraska.gov</w:t>
        </w:r>
      </w:hyperlink>
      <w:r w:rsidR="00E42B5B">
        <w:rPr>
          <w:rFonts w:cs="Times New Roman"/>
          <w:color w:val="000000"/>
        </w:rPr>
        <w:t xml:space="preserve"> under Eligible Training Providers in the Workforce Innovation and Opportunity Act tab. </w:t>
      </w:r>
    </w:p>
    <w:p w14:paraId="3B808970" w14:textId="77777777" w:rsidR="000260C6" w:rsidRDefault="000260C6" w:rsidP="007A6585">
      <w:pPr>
        <w:spacing w:after="0" w:line="240" w:lineRule="auto"/>
        <w:jc w:val="both"/>
        <w:rPr>
          <w:rFonts w:cs="Times New Roman"/>
          <w:color w:val="000000"/>
        </w:rPr>
      </w:pPr>
    </w:p>
    <w:p w14:paraId="0EFAC4B0" w14:textId="77777777"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14:paraId="45583EA6" w14:textId="77777777" w:rsidR="00685C25" w:rsidRPr="00685C25" w:rsidRDefault="00685C25" w:rsidP="00685C25">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14:paraId="65682E4F" w14:textId="77777777" w:rsidR="00EA508E" w:rsidRDefault="00EA508E"/>
    <w:sectPr w:rsidR="00EA50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5884" w14:textId="77777777" w:rsidR="00E54BD1" w:rsidRDefault="00E54BD1" w:rsidP="00E54BD1">
      <w:pPr>
        <w:spacing w:after="0" w:line="240" w:lineRule="auto"/>
      </w:pPr>
      <w:r>
        <w:separator/>
      </w:r>
    </w:p>
  </w:endnote>
  <w:endnote w:type="continuationSeparator" w:id="0">
    <w:p w14:paraId="0BE84AA9" w14:textId="77777777"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2F39E153" w14:textId="77777777"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5423A4">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5423A4">
              <w:rPr>
                <w:b/>
                <w:bCs/>
                <w:noProof/>
                <w:sz w:val="20"/>
                <w:szCs w:val="20"/>
              </w:rPr>
              <w:t>2</w:t>
            </w:r>
            <w:r w:rsidRPr="009D2F91">
              <w:rPr>
                <w:b/>
                <w:bCs/>
                <w:sz w:val="20"/>
                <w:szCs w:val="20"/>
              </w:rPr>
              <w:fldChar w:fldCharType="end"/>
            </w:r>
          </w:p>
        </w:sdtContent>
      </w:sdt>
    </w:sdtContent>
  </w:sdt>
  <w:p w14:paraId="5A85EC77" w14:textId="77777777"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3185A" w14:textId="77777777" w:rsidR="00E54BD1" w:rsidRDefault="00E54BD1" w:rsidP="00E54BD1">
      <w:pPr>
        <w:spacing w:after="0" w:line="240" w:lineRule="auto"/>
      </w:pPr>
      <w:r>
        <w:separator/>
      </w:r>
    </w:p>
  </w:footnote>
  <w:footnote w:type="continuationSeparator" w:id="0">
    <w:p w14:paraId="0F553ED1" w14:textId="77777777" w:rsidR="00E54BD1" w:rsidRDefault="00E54BD1" w:rsidP="00E54BD1">
      <w:pPr>
        <w:spacing w:after="0" w:line="240" w:lineRule="auto"/>
      </w:pPr>
      <w:r>
        <w:continuationSeparator/>
      </w:r>
    </w:p>
  </w:footnote>
  <w:footnote w:id="1">
    <w:p w14:paraId="2C178D20" w14:textId="77777777" w:rsidR="00D17609" w:rsidRPr="00095768" w:rsidRDefault="00D17609" w:rsidP="00D17609">
      <w:pPr>
        <w:pStyle w:val="FootnoteText"/>
        <w:rPr>
          <w:rFonts w:ascii="Times New Roman" w:hAnsi="Times New Roman"/>
          <w:color w:val="000000"/>
          <w:sz w:val="22"/>
          <w:szCs w:val="22"/>
        </w:rPr>
      </w:pPr>
      <w:r w:rsidRPr="00095768">
        <w:rPr>
          <w:color w:val="000000"/>
        </w:rPr>
        <w:footnoteRef/>
      </w:r>
      <w:r w:rsidRPr="00095768">
        <w:rPr>
          <w:rFonts w:ascii="Times New Roman" w:hAnsi="Times New Roman"/>
          <w:color w:val="000000"/>
          <w:sz w:val="22"/>
          <w:szCs w:val="22"/>
        </w:rPr>
        <w:t xml:space="preserve"> 20 CFR </w:t>
      </w:r>
      <w:r w:rsidRPr="00DE4042">
        <w:rPr>
          <w:rFonts w:ascii="Times New Roman" w:hAnsi="Times New Roman"/>
          <w:color w:val="000000"/>
          <w:sz w:val="22"/>
          <w:szCs w:val="22"/>
        </w:rPr>
        <w:t>§ 680.410(a)</w:t>
      </w:r>
    </w:p>
  </w:footnote>
  <w:footnote w:id="2">
    <w:p w14:paraId="02918FBA" w14:textId="7B916BA8" w:rsidR="00095768" w:rsidRDefault="00095768">
      <w:pPr>
        <w:pStyle w:val="FootnoteText"/>
      </w:pPr>
      <w:r w:rsidRPr="00095768">
        <w:rPr>
          <w:rFonts w:ascii="Times New Roman" w:hAnsi="Times New Roman"/>
          <w:color w:val="000000"/>
          <w:sz w:val="22"/>
          <w:szCs w:val="22"/>
        </w:rPr>
        <w:footnoteRef/>
      </w:r>
      <w:r w:rsidRPr="00095768">
        <w:rPr>
          <w:rFonts w:ascii="Times New Roman" w:hAnsi="Times New Roman"/>
          <w:color w:val="000000"/>
          <w:sz w:val="22"/>
          <w:szCs w:val="22"/>
        </w:rPr>
        <w:t xml:space="preserve"> </w:t>
      </w:r>
      <w:r w:rsidRPr="00095768">
        <w:rPr>
          <w:rFonts w:ascii="Times New Roman" w:hAnsi="Times New Roman"/>
          <w:color w:val="000000"/>
          <w:sz w:val="22"/>
          <w:szCs w:val="22"/>
        </w:rPr>
        <w:t>20 CFR § 677.230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A0BB" w14:textId="77777777" w:rsidR="00E54BD1" w:rsidRDefault="00E54BD1">
    <w:pPr>
      <w:pStyle w:val="Header"/>
    </w:pPr>
  </w:p>
  <w:p w14:paraId="28F40492" w14:textId="77777777" w:rsidR="00A65917" w:rsidRDefault="00A65917">
    <w:pPr>
      <w:pStyle w:val="Header"/>
    </w:pPr>
  </w:p>
  <w:p w14:paraId="34601853" w14:textId="77777777" w:rsidR="00E54BD1" w:rsidRDefault="00E54BD1">
    <w:pPr>
      <w:pStyle w:val="Header"/>
    </w:pPr>
    <w:r>
      <w:rPr>
        <w:rFonts w:cs="Arial"/>
        <w:b/>
        <w:noProof/>
        <w:color w:val="008080"/>
      </w:rPr>
      <w:drawing>
        <wp:anchor distT="0" distB="0" distL="114300" distR="114300" simplePos="0" relativeHeight="251659264" behindDoc="1" locked="0" layoutInCell="1" allowOverlap="1" wp14:anchorId="6C14E6C8" wp14:editId="78E66570">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9CE7159" wp14:editId="3FDF4052">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14:paraId="65920656" w14:textId="77777777" w:rsidR="00E54BD1" w:rsidRPr="00E54BD1" w:rsidRDefault="00E54BD1" w:rsidP="00E54BD1">
    <w:pPr>
      <w:pStyle w:val="Header"/>
      <w:ind w:right="-18"/>
      <w:rPr>
        <w:rFonts w:cs="Arial"/>
        <w:b/>
      </w:rPr>
    </w:pPr>
    <w:r w:rsidRPr="00E54BD1">
      <w:rPr>
        <w:rFonts w:cs="Arial"/>
        <w:b/>
      </w:rPr>
      <w:tab/>
      <w:t xml:space="preserve">                                       </w:t>
    </w:r>
  </w:p>
  <w:p w14:paraId="2E09F772" w14:textId="77777777"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865FC"/>
    <w:multiLevelType w:val="hybridMultilevel"/>
    <w:tmpl w:val="A0CAD8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109B9"/>
    <w:multiLevelType w:val="hybridMultilevel"/>
    <w:tmpl w:val="EE560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5F0A31"/>
    <w:multiLevelType w:val="hybridMultilevel"/>
    <w:tmpl w:val="16F2867C"/>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3"/>
  </w:num>
  <w:num w:numId="2">
    <w:abstractNumId w:val="28"/>
  </w:num>
  <w:num w:numId="3">
    <w:abstractNumId w:val="26"/>
  </w:num>
  <w:num w:numId="4">
    <w:abstractNumId w:val="15"/>
  </w:num>
  <w:num w:numId="5">
    <w:abstractNumId w:val="17"/>
  </w:num>
  <w:num w:numId="6">
    <w:abstractNumId w:val="3"/>
  </w:num>
  <w:num w:numId="7">
    <w:abstractNumId w:val="18"/>
  </w:num>
  <w:num w:numId="8">
    <w:abstractNumId w:val="31"/>
  </w:num>
  <w:num w:numId="9">
    <w:abstractNumId w:val="16"/>
  </w:num>
  <w:num w:numId="10">
    <w:abstractNumId w:val="5"/>
  </w:num>
  <w:num w:numId="11">
    <w:abstractNumId w:val="0"/>
  </w:num>
  <w:num w:numId="12">
    <w:abstractNumId w:val="11"/>
  </w:num>
  <w:num w:numId="13">
    <w:abstractNumId w:val="25"/>
  </w:num>
  <w:num w:numId="14">
    <w:abstractNumId w:val="21"/>
  </w:num>
  <w:num w:numId="15">
    <w:abstractNumId w:val="27"/>
  </w:num>
  <w:num w:numId="16">
    <w:abstractNumId w:val="9"/>
  </w:num>
  <w:num w:numId="17">
    <w:abstractNumId w:val="12"/>
  </w:num>
  <w:num w:numId="18">
    <w:abstractNumId w:val="4"/>
  </w:num>
  <w:num w:numId="19">
    <w:abstractNumId w:val="30"/>
  </w:num>
  <w:num w:numId="20">
    <w:abstractNumId w:val="8"/>
  </w:num>
  <w:num w:numId="21">
    <w:abstractNumId w:val="22"/>
  </w:num>
  <w:num w:numId="22">
    <w:abstractNumId w:val="19"/>
  </w:num>
  <w:num w:numId="23">
    <w:abstractNumId w:val="14"/>
  </w:num>
  <w:num w:numId="24">
    <w:abstractNumId w:val="29"/>
  </w:num>
  <w:num w:numId="25">
    <w:abstractNumId w:val="24"/>
  </w:num>
  <w:num w:numId="26">
    <w:abstractNumId w:val="1"/>
  </w:num>
  <w:num w:numId="27">
    <w:abstractNumId w:val="2"/>
  </w:num>
  <w:num w:numId="28">
    <w:abstractNumId w:val="20"/>
  </w:num>
  <w:num w:numId="29">
    <w:abstractNumId w:val="7"/>
  </w:num>
  <w:num w:numId="30">
    <w:abstractNumId w:val="2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22F04"/>
    <w:rsid w:val="000260C6"/>
    <w:rsid w:val="00091703"/>
    <w:rsid w:val="00095768"/>
    <w:rsid w:val="000969A3"/>
    <w:rsid w:val="000C4C60"/>
    <w:rsid w:val="001215D7"/>
    <w:rsid w:val="00131C86"/>
    <w:rsid w:val="001657D1"/>
    <w:rsid w:val="001812AD"/>
    <w:rsid w:val="00183C71"/>
    <w:rsid w:val="0018509E"/>
    <w:rsid w:val="001A6CBC"/>
    <w:rsid w:val="001D1593"/>
    <w:rsid w:val="002220B2"/>
    <w:rsid w:val="00231934"/>
    <w:rsid w:val="00271DC0"/>
    <w:rsid w:val="002E0DC3"/>
    <w:rsid w:val="00391E82"/>
    <w:rsid w:val="0039572C"/>
    <w:rsid w:val="003B7519"/>
    <w:rsid w:val="004012C3"/>
    <w:rsid w:val="004201F7"/>
    <w:rsid w:val="00432EA0"/>
    <w:rsid w:val="00445104"/>
    <w:rsid w:val="004A00AC"/>
    <w:rsid w:val="004C3629"/>
    <w:rsid w:val="004E704B"/>
    <w:rsid w:val="00507A57"/>
    <w:rsid w:val="005423A4"/>
    <w:rsid w:val="005A7642"/>
    <w:rsid w:val="005B075B"/>
    <w:rsid w:val="005B0793"/>
    <w:rsid w:val="005F379F"/>
    <w:rsid w:val="00673781"/>
    <w:rsid w:val="00674612"/>
    <w:rsid w:val="00685C25"/>
    <w:rsid w:val="006C784E"/>
    <w:rsid w:val="006F2509"/>
    <w:rsid w:val="0073736B"/>
    <w:rsid w:val="00750CEC"/>
    <w:rsid w:val="00765B53"/>
    <w:rsid w:val="007A6585"/>
    <w:rsid w:val="007D6F57"/>
    <w:rsid w:val="007E1897"/>
    <w:rsid w:val="009003AF"/>
    <w:rsid w:val="009231B2"/>
    <w:rsid w:val="0098020E"/>
    <w:rsid w:val="009D2F91"/>
    <w:rsid w:val="009E5E0D"/>
    <w:rsid w:val="00A65917"/>
    <w:rsid w:val="00A906AE"/>
    <w:rsid w:val="00A93C42"/>
    <w:rsid w:val="00AD709F"/>
    <w:rsid w:val="00AE5F04"/>
    <w:rsid w:val="00B44B60"/>
    <w:rsid w:val="00B86E64"/>
    <w:rsid w:val="00BE7F01"/>
    <w:rsid w:val="00C02217"/>
    <w:rsid w:val="00C06578"/>
    <w:rsid w:val="00C2545E"/>
    <w:rsid w:val="00C44891"/>
    <w:rsid w:val="00D119EC"/>
    <w:rsid w:val="00D17609"/>
    <w:rsid w:val="00D95D82"/>
    <w:rsid w:val="00DA155F"/>
    <w:rsid w:val="00DD030D"/>
    <w:rsid w:val="00DE4042"/>
    <w:rsid w:val="00E124F8"/>
    <w:rsid w:val="00E36755"/>
    <w:rsid w:val="00E42B5B"/>
    <w:rsid w:val="00E448AF"/>
    <w:rsid w:val="00E54BD1"/>
    <w:rsid w:val="00E7754D"/>
    <w:rsid w:val="00E945B2"/>
    <w:rsid w:val="00EA508E"/>
    <w:rsid w:val="00ED3E98"/>
    <w:rsid w:val="00F528B1"/>
    <w:rsid w:val="00F6054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F7FA"/>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l.nebraska.gov/EmploymentAndTraining/WIOA/ETP?sideMenu=JobSeeker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orks.nebraska.gov/vosnet/Default.aspx" TargetMode="External"/><Relationship Id="rId4" Type="http://schemas.openxmlformats.org/officeDocument/2006/relationships/settings" Target="settings.xml"/><Relationship Id="rId9" Type="http://schemas.openxmlformats.org/officeDocument/2006/relationships/hyperlink" Target="mailto:ndol.greaternebraska@nebrask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A489-6C2E-42EA-BB28-D37D6CD5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8</cp:revision>
  <cp:lastPrinted>2017-01-19T13:26:00Z</cp:lastPrinted>
  <dcterms:created xsi:type="dcterms:W3CDTF">2017-01-25T22:07:00Z</dcterms:created>
  <dcterms:modified xsi:type="dcterms:W3CDTF">2017-02-15T15:15:00Z</dcterms:modified>
</cp:coreProperties>
</file>