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935"/>
        <w:gridCol w:w="1620"/>
        <w:gridCol w:w="1795"/>
      </w:tblGrid>
      <w:tr w:rsidR="00685C25" w:rsidTr="00FF4ED8">
        <w:tc>
          <w:tcPr>
            <w:tcW w:w="5935" w:type="dxa"/>
          </w:tcPr>
          <w:p w:rsidR="00685C25" w:rsidRDefault="00600FFB" w:rsidP="00600FFB">
            <w:r>
              <w:rPr>
                <w:b/>
                <w:sz w:val="28"/>
                <w:szCs w:val="28"/>
              </w:rPr>
              <w:t xml:space="preserve">Appeals Procedure for Program Participants </w:t>
            </w:r>
          </w:p>
        </w:tc>
        <w:tc>
          <w:tcPr>
            <w:tcW w:w="1620" w:type="dxa"/>
          </w:tcPr>
          <w:p w:rsidR="00685C25" w:rsidRDefault="00685C25" w:rsidP="00FF4ED8">
            <w:r>
              <w:t xml:space="preserve">Policy No. </w:t>
            </w:r>
          </w:p>
        </w:tc>
        <w:tc>
          <w:tcPr>
            <w:tcW w:w="1795" w:type="dxa"/>
          </w:tcPr>
          <w:p w:rsidR="00685C25" w:rsidRPr="007D6F57" w:rsidRDefault="00600FFB" w:rsidP="00FF4ED8">
            <w:pPr>
              <w:rPr>
                <w:sz w:val="56"/>
                <w:szCs w:val="56"/>
              </w:rPr>
            </w:pPr>
            <w:r>
              <w:rPr>
                <w:sz w:val="56"/>
                <w:szCs w:val="56"/>
              </w:rPr>
              <w:t>5</w:t>
            </w:r>
          </w:p>
        </w:tc>
      </w:tr>
      <w:tr w:rsidR="00685C25" w:rsidTr="00FF4ED8">
        <w:tc>
          <w:tcPr>
            <w:tcW w:w="5935" w:type="dxa"/>
            <w:vMerge w:val="restart"/>
          </w:tcPr>
          <w:p w:rsidR="00685C25" w:rsidRPr="009D2F91" w:rsidRDefault="00685C25" w:rsidP="00FF4ED8">
            <w:pPr>
              <w:pStyle w:val="Header"/>
              <w:ind w:left="-288" w:right="-282" w:firstLine="288"/>
              <w:rPr>
                <w:rFonts w:eastAsia="+mn-ea"/>
                <w:b/>
                <w:bCs/>
                <w:color w:val="00607F"/>
                <w:kern w:val="24"/>
                <w:sz w:val="26"/>
                <w:szCs w:val="26"/>
              </w:rPr>
            </w:pPr>
            <w:r w:rsidRPr="00331488">
              <w:rPr>
                <w:rFonts w:eastAsia="+mn-ea"/>
                <w:b/>
                <w:bCs/>
                <w:color w:val="00607F"/>
                <w:kern w:val="24"/>
                <w:sz w:val="26"/>
                <w:szCs w:val="26"/>
              </w:rPr>
              <w:t>Greater Nebraska Workforce Development Area</w:t>
            </w:r>
            <w:r w:rsidRPr="009D2F91">
              <w:rPr>
                <w:rFonts w:eastAsia="+mn-ea"/>
                <w:b/>
                <w:bCs/>
                <w:color w:val="00607F"/>
                <w:kern w:val="24"/>
                <w:sz w:val="26"/>
                <w:szCs w:val="26"/>
              </w:rPr>
              <w:t xml:space="preserve"> </w:t>
            </w:r>
          </w:p>
          <w:p w:rsidR="00685C25" w:rsidRPr="00A93C42" w:rsidRDefault="00685C25" w:rsidP="00FF4ED8">
            <w:pPr>
              <w:pStyle w:val="Header"/>
              <w:ind w:left="-288" w:right="-282" w:firstLine="288"/>
              <w:rPr>
                <w:rFonts w:eastAsia="+mn-ea"/>
                <w:bCs/>
                <w:kern w:val="24"/>
              </w:rPr>
            </w:pPr>
            <w:r w:rsidRPr="00A93C42">
              <w:rPr>
                <w:rFonts w:eastAsia="+mn-ea"/>
                <w:bCs/>
                <w:kern w:val="24"/>
              </w:rPr>
              <w:t xml:space="preserve">550 South 16th Street </w:t>
            </w:r>
          </w:p>
          <w:p w:rsidR="00685C25" w:rsidRPr="00A93C42" w:rsidRDefault="00600FFB" w:rsidP="00FF4ED8">
            <w:pPr>
              <w:pStyle w:val="Header"/>
              <w:ind w:left="-288" w:right="-282" w:firstLine="288"/>
              <w:rPr>
                <w:rFonts w:eastAsia="+mn-ea"/>
                <w:bCs/>
                <w:kern w:val="24"/>
              </w:rPr>
            </w:pPr>
            <w:r>
              <w:rPr>
                <w:rFonts w:eastAsia="+mn-ea"/>
                <w:bCs/>
                <w:kern w:val="24"/>
              </w:rPr>
              <w:t>Nebraska</w:t>
            </w:r>
            <w:r w:rsidR="00685C25" w:rsidRPr="00A93C42">
              <w:rPr>
                <w:rFonts w:eastAsia="+mn-ea"/>
                <w:bCs/>
                <w:kern w:val="24"/>
              </w:rPr>
              <w:t>, NE 68508</w:t>
            </w:r>
          </w:p>
          <w:p w:rsidR="00685C25" w:rsidRPr="00A93C42" w:rsidRDefault="00685C25" w:rsidP="00FF4ED8">
            <w:pPr>
              <w:pStyle w:val="Header"/>
              <w:ind w:left="-288" w:right="-282" w:firstLine="288"/>
              <w:rPr>
                <w:rFonts w:eastAsia="+mn-ea"/>
                <w:bCs/>
                <w:kern w:val="24"/>
              </w:rPr>
            </w:pPr>
            <w:r w:rsidRPr="00A93C42">
              <w:rPr>
                <w:rFonts w:eastAsia="+mn-ea"/>
                <w:bCs/>
                <w:kern w:val="24"/>
              </w:rPr>
              <w:t>402.471.9878</w:t>
            </w:r>
          </w:p>
          <w:p w:rsidR="009D2F91" w:rsidRPr="00A93C42" w:rsidRDefault="0098430A" w:rsidP="009D2F91">
            <w:pPr>
              <w:pStyle w:val="NormalWeb"/>
              <w:spacing w:before="0" w:beforeAutospacing="0" w:after="0" w:afterAutospacing="0"/>
              <w:rPr>
                <w:sz w:val="20"/>
                <w:szCs w:val="20"/>
              </w:rPr>
            </w:pPr>
            <w:hyperlink r:id="rId8" w:history="1">
              <w:r w:rsidR="00685C25" w:rsidRPr="00A93C42">
                <w:rPr>
                  <w:rStyle w:val="Hyperlink"/>
                  <w:rFonts w:cs="Arial"/>
                  <w:sz w:val="20"/>
                  <w:szCs w:val="20"/>
                </w:rPr>
                <w:t>ndol.greaternebraska@nebraska.gov</w:t>
              </w:r>
            </w:hyperlink>
            <w:r w:rsidR="009D2F91" w:rsidRPr="00A93C42">
              <w:rPr>
                <w:rFonts w:cs="Arial"/>
                <w:sz w:val="20"/>
                <w:szCs w:val="20"/>
              </w:rPr>
              <w:t xml:space="preserve"> </w:t>
            </w:r>
          </w:p>
          <w:p w:rsidR="00685C25" w:rsidRPr="00685C25" w:rsidRDefault="00685C25" w:rsidP="00FF4ED8">
            <w:pPr>
              <w:pStyle w:val="Header"/>
              <w:ind w:left="-288" w:right="-282" w:firstLine="288"/>
              <w:rPr>
                <w:rFonts w:cs="Arial"/>
                <w:sz w:val="18"/>
              </w:rPr>
            </w:pPr>
          </w:p>
        </w:tc>
        <w:tc>
          <w:tcPr>
            <w:tcW w:w="1620" w:type="dxa"/>
          </w:tcPr>
          <w:p w:rsidR="00685C25" w:rsidRDefault="00685C25" w:rsidP="00FF4ED8">
            <w:r>
              <w:t>Effective Date</w:t>
            </w:r>
          </w:p>
        </w:tc>
        <w:tc>
          <w:tcPr>
            <w:tcW w:w="1795" w:type="dxa"/>
          </w:tcPr>
          <w:p w:rsidR="00685C25" w:rsidRDefault="00685C25" w:rsidP="00FF4ED8">
            <w:r>
              <w:t>7/1/2017</w:t>
            </w:r>
          </w:p>
        </w:tc>
      </w:tr>
      <w:tr w:rsidR="00685C25" w:rsidTr="00FF4ED8">
        <w:tc>
          <w:tcPr>
            <w:tcW w:w="5935" w:type="dxa"/>
            <w:vMerge/>
          </w:tcPr>
          <w:p w:rsidR="00685C25" w:rsidRPr="00685C25" w:rsidRDefault="00685C25" w:rsidP="00FF4ED8">
            <w:pPr>
              <w:pStyle w:val="Header"/>
              <w:ind w:left="-288" w:right="-282" w:firstLine="288"/>
              <w:rPr>
                <w:rFonts w:cs="Arial"/>
                <w:sz w:val="18"/>
              </w:rPr>
            </w:pPr>
          </w:p>
        </w:tc>
        <w:tc>
          <w:tcPr>
            <w:tcW w:w="1620" w:type="dxa"/>
          </w:tcPr>
          <w:p w:rsidR="00685C25" w:rsidRDefault="00685C25" w:rsidP="00FF4ED8">
            <w:r>
              <w:t xml:space="preserve">Supersedes </w:t>
            </w:r>
          </w:p>
        </w:tc>
        <w:tc>
          <w:tcPr>
            <w:tcW w:w="1795" w:type="dxa"/>
          </w:tcPr>
          <w:p w:rsidR="00685C25" w:rsidRDefault="00685C25" w:rsidP="00FF4ED8"/>
        </w:tc>
      </w:tr>
      <w:tr w:rsidR="00685C25" w:rsidTr="00FF4ED8">
        <w:tc>
          <w:tcPr>
            <w:tcW w:w="5935" w:type="dxa"/>
            <w:vMerge/>
          </w:tcPr>
          <w:p w:rsidR="00685C25" w:rsidRPr="00685C25" w:rsidRDefault="00685C25" w:rsidP="00FF4ED8">
            <w:pPr>
              <w:pStyle w:val="Header"/>
              <w:ind w:left="-288" w:right="-282" w:firstLine="288"/>
              <w:rPr>
                <w:rFonts w:cs="Arial"/>
                <w:sz w:val="18"/>
              </w:rPr>
            </w:pPr>
          </w:p>
        </w:tc>
        <w:tc>
          <w:tcPr>
            <w:tcW w:w="1620" w:type="dxa"/>
          </w:tcPr>
          <w:p w:rsidR="00685C25" w:rsidRDefault="00685C25" w:rsidP="00FF4ED8">
            <w:r>
              <w:t>Revision Date</w:t>
            </w:r>
          </w:p>
        </w:tc>
        <w:tc>
          <w:tcPr>
            <w:tcW w:w="1795" w:type="dxa"/>
          </w:tcPr>
          <w:p w:rsidR="00685C25" w:rsidRDefault="00685C25" w:rsidP="00FF4ED8"/>
        </w:tc>
      </w:tr>
      <w:tr w:rsidR="00685C25" w:rsidTr="00FF4ED8">
        <w:tc>
          <w:tcPr>
            <w:tcW w:w="5935" w:type="dxa"/>
            <w:vMerge/>
          </w:tcPr>
          <w:p w:rsidR="00685C25" w:rsidRPr="00685C25" w:rsidRDefault="00685C25" w:rsidP="00FF4ED8">
            <w:pPr>
              <w:pStyle w:val="Header"/>
              <w:ind w:left="-288" w:right="-282" w:firstLine="288"/>
              <w:rPr>
                <w:rFonts w:cs="Arial"/>
                <w:sz w:val="18"/>
              </w:rPr>
            </w:pPr>
          </w:p>
        </w:tc>
        <w:tc>
          <w:tcPr>
            <w:tcW w:w="1620" w:type="dxa"/>
          </w:tcPr>
          <w:p w:rsidR="00685C25" w:rsidRDefault="00685C25" w:rsidP="00FF4ED8">
            <w:r>
              <w:t xml:space="preserve">Revision No. </w:t>
            </w:r>
          </w:p>
        </w:tc>
        <w:tc>
          <w:tcPr>
            <w:tcW w:w="1795" w:type="dxa"/>
          </w:tcPr>
          <w:p w:rsidR="00685C25" w:rsidRDefault="00685C25" w:rsidP="00FF4ED8"/>
        </w:tc>
      </w:tr>
      <w:tr w:rsidR="00685C25" w:rsidTr="00FF4ED8">
        <w:tc>
          <w:tcPr>
            <w:tcW w:w="5935" w:type="dxa"/>
            <w:vMerge/>
          </w:tcPr>
          <w:p w:rsidR="00685C25" w:rsidRDefault="00685C25" w:rsidP="00FF4ED8"/>
        </w:tc>
        <w:tc>
          <w:tcPr>
            <w:tcW w:w="1620" w:type="dxa"/>
          </w:tcPr>
          <w:p w:rsidR="00685C25" w:rsidRDefault="00685C25" w:rsidP="00FF4ED8">
            <w:r>
              <w:t xml:space="preserve">Approval </w:t>
            </w:r>
          </w:p>
        </w:tc>
        <w:tc>
          <w:tcPr>
            <w:tcW w:w="1795" w:type="dxa"/>
          </w:tcPr>
          <w:p w:rsidR="00685C25" w:rsidRDefault="00685C25" w:rsidP="00FF4ED8">
            <w:r>
              <w:t xml:space="preserve">GNWDB </w:t>
            </w:r>
          </w:p>
        </w:tc>
      </w:tr>
    </w:tbl>
    <w:p w:rsidR="00685C25" w:rsidRDefault="00685C25" w:rsidP="008C71EE">
      <w:pPr>
        <w:spacing w:after="0" w:line="240" w:lineRule="auto"/>
        <w:jc w:val="both"/>
        <w:rPr>
          <w:rFonts w:eastAsia="Times New Roman" w:cs="Times New Roman"/>
          <w:b/>
          <w:u w:val="single"/>
        </w:rPr>
      </w:pPr>
    </w:p>
    <w:p w:rsidR="00600FFB" w:rsidRDefault="00600FFB" w:rsidP="008C71EE">
      <w:pPr>
        <w:jc w:val="both"/>
        <w:rPr>
          <w:sz w:val="24"/>
          <w:szCs w:val="24"/>
        </w:rPr>
      </w:pPr>
      <w:r>
        <w:t xml:space="preserve">It is the policy of the Greater Nebraska Workforce Development Service Provider to ensure non-discrimination and equal opportunity while delivering services under the Workforce Innovation and Opportunity Act (WIOA) by the WIOA Title I Service Provider and Service Provider staff. </w:t>
      </w:r>
      <w:r w:rsidRPr="00765857">
        <w:rPr>
          <w:sz w:val="24"/>
          <w:szCs w:val="24"/>
        </w:rPr>
        <w:t>WIOA</w:t>
      </w:r>
      <w:r w:rsidRPr="00D11921">
        <w:rPr>
          <w:sz w:val="24"/>
          <w:szCs w:val="24"/>
        </w:rPr>
        <w:t xml:space="preserve"> prohibits discrimination on the basis of race, color, national origin, sex, age, disability, religion, political affiliation or belief, participant status, and certain non-citizens.</w:t>
      </w:r>
      <w:r>
        <w:rPr>
          <w:sz w:val="24"/>
          <w:szCs w:val="24"/>
        </w:rPr>
        <w:t xml:space="preserve">  N</w:t>
      </w:r>
      <w:r w:rsidRPr="00D11921">
        <w:rPr>
          <w:sz w:val="24"/>
          <w:szCs w:val="24"/>
        </w:rPr>
        <w:t>otice</w:t>
      </w:r>
      <w:r>
        <w:rPr>
          <w:sz w:val="24"/>
          <w:szCs w:val="24"/>
        </w:rPr>
        <w:t xml:space="preserve"> regarding this policy</w:t>
      </w:r>
      <w:r w:rsidRPr="00D11921">
        <w:rPr>
          <w:sz w:val="24"/>
          <w:szCs w:val="24"/>
        </w:rPr>
        <w:t xml:space="preserve"> must be provided to: registrants, applications, employees, union or professional organizations that hold collective bargaining agreements with the grant recipient or service provider, members of the public including those with impaired vision or hearing, and any subcontractor who receives Workforce Investment funds from the service provider or grant recipient</w:t>
      </w:r>
      <w:r>
        <w:rPr>
          <w:sz w:val="24"/>
          <w:szCs w:val="24"/>
        </w:rPr>
        <w:t xml:space="preserve">.  This </w:t>
      </w:r>
      <w:r w:rsidRPr="00D11921">
        <w:rPr>
          <w:sz w:val="24"/>
          <w:szCs w:val="24"/>
        </w:rPr>
        <w:t xml:space="preserve">notice </w:t>
      </w:r>
      <w:r>
        <w:rPr>
          <w:sz w:val="24"/>
          <w:szCs w:val="24"/>
        </w:rPr>
        <w:t>will</w:t>
      </w:r>
      <w:r w:rsidRPr="00D11921">
        <w:rPr>
          <w:sz w:val="24"/>
          <w:szCs w:val="24"/>
        </w:rPr>
        <w:t xml:space="preserve"> be provided in an appropriate format to individuals with visual impairments and the service provider must be able to provide reasonable accommodations to all other individuals with disabilities so they may enj</w:t>
      </w:r>
      <w:r>
        <w:rPr>
          <w:sz w:val="24"/>
          <w:szCs w:val="24"/>
        </w:rPr>
        <w:t xml:space="preserve">oy the benefits of the program.  </w:t>
      </w:r>
      <w:r w:rsidRPr="00D11921">
        <w:rPr>
          <w:sz w:val="24"/>
          <w:szCs w:val="24"/>
        </w:rPr>
        <w:t>The notice may be provided by posting “Equal Opportunity is The Law” posters, personnel orientation, tag lines on stationary, pamph</w:t>
      </w:r>
      <w:r>
        <w:rPr>
          <w:sz w:val="24"/>
          <w:szCs w:val="24"/>
        </w:rPr>
        <w:t xml:space="preserve">lets, handbooks, manuals, etc.  </w:t>
      </w:r>
      <w:r w:rsidRPr="00D11921">
        <w:rPr>
          <w:sz w:val="24"/>
          <w:szCs w:val="24"/>
        </w:rPr>
        <w:t xml:space="preserve">Each individual who is registered for the </w:t>
      </w:r>
      <w:r w:rsidRPr="00765857">
        <w:rPr>
          <w:sz w:val="24"/>
          <w:szCs w:val="24"/>
        </w:rPr>
        <w:t>WIOA</w:t>
      </w:r>
      <w:r w:rsidRPr="00D11921">
        <w:rPr>
          <w:sz w:val="24"/>
          <w:szCs w:val="24"/>
        </w:rPr>
        <w:t xml:space="preserve"> Program will be requested to acknowledge they are aware of the service provider’s position on Equal Opportunity and they may file a complaint if they believe they have been discriminated against.</w:t>
      </w:r>
    </w:p>
    <w:p w:rsidR="00600FFB" w:rsidRDefault="00600FFB" w:rsidP="008C71EE">
      <w:pPr>
        <w:jc w:val="both"/>
        <w:rPr>
          <w:sz w:val="24"/>
          <w:szCs w:val="24"/>
        </w:rPr>
      </w:pPr>
      <w:r w:rsidRPr="00924244">
        <w:rPr>
          <w:sz w:val="24"/>
          <w:szCs w:val="24"/>
        </w:rPr>
        <w:t xml:space="preserve">There are two different processes for submission of complaints for subsequent resolution.  One process is to ensure the complainants are able to submit a complaint on violations of the Equal Opportunity laws and complaints on discrimination.  </w:t>
      </w:r>
      <w:r>
        <w:rPr>
          <w:sz w:val="24"/>
          <w:szCs w:val="24"/>
        </w:rPr>
        <w:t xml:space="preserve">This process is outlined in Policy13 Equal Opportunity and Non-Discrimination. </w:t>
      </w:r>
      <w:r w:rsidRPr="00924244">
        <w:rPr>
          <w:sz w:val="24"/>
          <w:szCs w:val="24"/>
        </w:rPr>
        <w:t xml:space="preserve">The other process provides individuals an opportunity to submit a non-criminal type complaint regarding violations of </w:t>
      </w:r>
      <w:r w:rsidRPr="00765857">
        <w:rPr>
          <w:sz w:val="24"/>
          <w:szCs w:val="24"/>
        </w:rPr>
        <w:t>WIOA</w:t>
      </w:r>
      <w:r w:rsidRPr="00924244">
        <w:rPr>
          <w:sz w:val="24"/>
          <w:szCs w:val="24"/>
        </w:rPr>
        <w:t xml:space="preserve"> or other federal and state laws or rules, including grant agreements, grant awards, collective bargaining agreements, failure to receive services, etc.</w:t>
      </w:r>
      <w:r>
        <w:rPr>
          <w:sz w:val="24"/>
          <w:szCs w:val="24"/>
        </w:rPr>
        <w:t xml:space="preserve">  Details on the processes, contacts, and procedures for filing a </w:t>
      </w:r>
      <w:proofErr w:type="spellStart"/>
      <w:r>
        <w:rPr>
          <w:sz w:val="24"/>
          <w:szCs w:val="24"/>
        </w:rPr>
        <w:t>non criminal</w:t>
      </w:r>
      <w:proofErr w:type="spellEnd"/>
      <w:r>
        <w:rPr>
          <w:sz w:val="24"/>
          <w:szCs w:val="24"/>
        </w:rPr>
        <w:t xml:space="preserve"> complaint or grievance of a </w:t>
      </w:r>
      <w:proofErr w:type="spellStart"/>
      <w:r>
        <w:rPr>
          <w:sz w:val="24"/>
          <w:szCs w:val="24"/>
        </w:rPr>
        <w:t>non discriminatory</w:t>
      </w:r>
      <w:proofErr w:type="spellEnd"/>
      <w:r>
        <w:rPr>
          <w:sz w:val="24"/>
          <w:szCs w:val="24"/>
        </w:rPr>
        <w:t xml:space="preserve"> nature can be found in </w:t>
      </w:r>
      <w:r w:rsidRPr="00765857">
        <w:rPr>
          <w:sz w:val="24"/>
          <w:szCs w:val="24"/>
        </w:rPr>
        <w:t xml:space="preserve">Policy 8 Complaints and Grievances of a Non-discriminatory Nature of the Greater </w:t>
      </w:r>
      <w:r>
        <w:rPr>
          <w:sz w:val="24"/>
          <w:szCs w:val="24"/>
        </w:rPr>
        <w:t>Nebraska</w:t>
      </w:r>
      <w:r w:rsidRPr="00765857">
        <w:rPr>
          <w:sz w:val="24"/>
          <w:szCs w:val="24"/>
        </w:rPr>
        <w:t xml:space="preserve"> Local Plan</w:t>
      </w:r>
      <w:r>
        <w:rPr>
          <w:sz w:val="24"/>
          <w:szCs w:val="24"/>
        </w:rPr>
        <w:t xml:space="preserve">. </w:t>
      </w:r>
      <w:bookmarkStart w:id="0" w:name="_GoBack"/>
      <w:bookmarkEnd w:id="0"/>
    </w:p>
    <w:p w:rsidR="00600FFB" w:rsidRPr="00DA6227" w:rsidRDefault="00600FFB" w:rsidP="008C71EE">
      <w:pPr>
        <w:jc w:val="both"/>
        <w:rPr>
          <w:sz w:val="24"/>
          <w:szCs w:val="24"/>
        </w:rPr>
      </w:pPr>
      <w:r>
        <w:rPr>
          <w:sz w:val="24"/>
          <w:szCs w:val="24"/>
        </w:rPr>
        <w:t>In general, i</w:t>
      </w:r>
      <w:r w:rsidRPr="00DA6227">
        <w:rPr>
          <w:sz w:val="24"/>
          <w:szCs w:val="24"/>
        </w:rPr>
        <w:t>f a complaint</w:t>
      </w:r>
      <w:r>
        <w:rPr>
          <w:sz w:val="24"/>
          <w:szCs w:val="24"/>
        </w:rPr>
        <w:t xml:space="preserve"> of discrimination</w:t>
      </w:r>
      <w:r w:rsidRPr="00DA6227">
        <w:rPr>
          <w:sz w:val="24"/>
          <w:szCs w:val="24"/>
        </w:rPr>
        <w:t xml:space="preserve"> is filed with the recipient, the complainant must wait either until the recipient issues a written Notice of Final Action, or until 90 days have passed (whichever is sooner), before filing with the Civil Rights Center (CRC). </w:t>
      </w:r>
    </w:p>
    <w:p w:rsidR="00600FFB" w:rsidRPr="00DA6227" w:rsidRDefault="00600FFB" w:rsidP="008C71EE">
      <w:pPr>
        <w:jc w:val="both"/>
        <w:rPr>
          <w:sz w:val="24"/>
          <w:szCs w:val="24"/>
        </w:rPr>
      </w:pPr>
    </w:p>
    <w:p w:rsidR="00600FFB" w:rsidRPr="00DA6227" w:rsidRDefault="00600FFB" w:rsidP="008C71EE">
      <w:pPr>
        <w:jc w:val="both"/>
        <w:rPr>
          <w:sz w:val="24"/>
          <w:szCs w:val="24"/>
        </w:rPr>
      </w:pPr>
      <w:r w:rsidRPr="00DA6227">
        <w:rPr>
          <w:sz w:val="24"/>
          <w:szCs w:val="24"/>
        </w:rPr>
        <w:lastRenderedPageBreak/>
        <w:t xml:space="preserve">If the recipient does not give the complainant a written Notice of Final Action within 90 days of the day the complaint was filed, the complainant does not have to wait for the recipient to issue that Notice before filing a complaint with CRC. However, the CRC complaint must be filed within 30 days of the 90-day deadline (in other words, within 120 days after the day on which the complainant filed the complaint with the recipient). </w:t>
      </w:r>
    </w:p>
    <w:p w:rsidR="00600FFB" w:rsidRDefault="00600FFB" w:rsidP="008C71EE">
      <w:pPr>
        <w:jc w:val="both"/>
        <w:rPr>
          <w:sz w:val="24"/>
          <w:szCs w:val="24"/>
        </w:rPr>
      </w:pPr>
      <w:r w:rsidRPr="00DA6227">
        <w:rPr>
          <w:sz w:val="24"/>
          <w:szCs w:val="24"/>
        </w:rPr>
        <w:t>If the recipient does give the complainant a written Notice of Final Action on the complaint, but the complainant is dissatisfied with the decision or resolution, the complainant may then file a complaint with CRC. The complainant must file the CRC complaint within 30 days of the date on which he/she received the Notice of Final Action.</w:t>
      </w:r>
    </w:p>
    <w:p w:rsidR="00E85B50" w:rsidRDefault="00600FFB" w:rsidP="008C71EE">
      <w:pPr>
        <w:jc w:val="both"/>
        <w:rPr>
          <w:rFonts w:eastAsia="+mn-ea" w:cs="Times New Roman"/>
          <w:b/>
          <w:bCs/>
          <w:color w:val="00607F"/>
          <w:kern w:val="24"/>
          <w:sz w:val="28"/>
          <w:szCs w:val="28"/>
          <w:u w:val="single"/>
        </w:rPr>
      </w:pPr>
      <w:r>
        <w:rPr>
          <w:sz w:val="24"/>
          <w:szCs w:val="24"/>
        </w:rPr>
        <w:t xml:space="preserve">For </w:t>
      </w:r>
      <w:proofErr w:type="spellStart"/>
      <w:r>
        <w:rPr>
          <w:sz w:val="24"/>
          <w:szCs w:val="24"/>
        </w:rPr>
        <w:t>non criminal</w:t>
      </w:r>
      <w:proofErr w:type="spellEnd"/>
      <w:r>
        <w:rPr>
          <w:sz w:val="24"/>
          <w:szCs w:val="24"/>
        </w:rPr>
        <w:t xml:space="preserve"> complaints and grievances of a </w:t>
      </w:r>
      <w:proofErr w:type="spellStart"/>
      <w:r>
        <w:rPr>
          <w:sz w:val="24"/>
          <w:szCs w:val="24"/>
        </w:rPr>
        <w:t>non discriminatory</w:t>
      </w:r>
      <w:proofErr w:type="spellEnd"/>
      <w:r>
        <w:rPr>
          <w:sz w:val="24"/>
          <w:szCs w:val="24"/>
        </w:rPr>
        <w:t xml:space="preserve"> nature, please refer to the process outlined in Policy 8</w:t>
      </w:r>
      <w:r w:rsidR="00BB5A73">
        <w:rPr>
          <w:sz w:val="24"/>
          <w:szCs w:val="24"/>
        </w:rPr>
        <w:t xml:space="preserve">. </w:t>
      </w:r>
      <w:r>
        <w:rPr>
          <w:sz w:val="24"/>
          <w:szCs w:val="24"/>
        </w:rPr>
        <w:t xml:space="preserve"> </w:t>
      </w:r>
    </w:p>
    <w:p w:rsidR="00685C25" w:rsidRPr="00685C25" w:rsidRDefault="00685C25" w:rsidP="00A454BA">
      <w:pPr>
        <w:spacing w:after="0" w:line="240" w:lineRule="auto"/>
        <w:jc w:val="both"/>
        <w:rPr>
          <w:rFonts w:eastAsia="+mn-ea" w:cs="Times New Roman"/>
          <w:b/>
          <w:bCs/>
          <w:color w:val="00607F"/>
          <w:kern w:val="24"/>
          <w:sz w:val="28"/>
          <w:szCs w:val="28"/>
          <w:u w:val="single"/>
        </w:rPr>
      </w:pPr>
      <w:r w:rsidRPr="00685C25">
        <w:rPr>
          <w:rFonts w:eastAsia="+mn-ea" w:cs="Times New Roman"/>
          <w:b/>
          <w:bCs/>
          <w:color w:val="00607F"/>
          <w:kern w:val="24"/>
          <w:sz w:val="28"/>
          <w:szCs w:val="28"/>
          <w:u w:val="single"/>
        </w:rPr>
        <w:t>Disclaimer</w:t>
      </w:r>
    </w:p>
    <w:p w:rsidR="00685C25" w:rsidRPr="00685C25" w:rsidRDefault="00685C25" w:rsidP="00A454BA">
      <w:pPr>
        <w:spacing w:after="0" w:line="240" w:lineRule="auto"/>
        <w:jc w:val="both"/>
        <w:rPr>
          <w:rFonts w:eastAsia="Times New Roman" w:cs="Times New Roman"/>
        </w:rPr>
      </w:pPr>
      <w:r w:rsidRPr="00685C25">
        <w:rPr>
          <w:rFonts w:eastAsia="Times New Roman" w:cs="Times New Roman"/>
        </w:rPr>
        <w:t>This policy is based on Greater Nebraska’s reading of the applicable statutes, regulations, rules and guidance released by the U.S. Government and the State of Nebraska.  This policy is subject to change as revised or additional statutes, regulations, rules and guidance are issued.</w:t>
      </w:r>
    </w:p>
    <w:p w:rsidR="00EA508E" w:rsidRDefault="00EA508E"/>
    <w:sectPr w:rsidR="00EA508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BD1" w:rsidRDefault="00E54BD1" w:rsidP="00E54BD1">
      <w:pPr>
        <w:spacing w:after="0" w:line="240" w:lineRule="auto"/>
      </w:pPr>
      <w:r>
        <w:separator/>
      </w:r>
    </w:p>
  </w:endnote>
  <w:endnote w:type="continuationSeparator" w:id="0">
    <w:p w:rsidR="00E54BD1" w:rsidRDefault="00E54BD1" w:rsidP="00E5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n-ea">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650107"/>
      <w:docPartObj>
        <w:docPartGallery w:val="Page Numbers (Bottom of Page)"/>
        <w:docPartUnique/>
      </w:docPartObj>
    </w:sdtPr>
    <w:sdtEndPr/>
    <w:sdtContent>
      <w:sdt>
        <w:sdtPr>
          <w:id w:val="-1769616900"/>
          <w:docPartObj>
            <w:docPartGallery w:val="Page Numbers (Top of Page)"/>
            <w:docPartUnique/>
          </w:docPartObj>
        </w:sdtPr>
        <w:sdtEndPr/>
        <w:sdtContent>
          <w:p w:rsidR="009D2F91" w:rsidRDefault="009D2F91">
            <w:pPr>
              <w:pStyle w:val="Footer"/>
              <w:jc w:val="right"/>
            </w:pPr>
            <w:r w:rsidRPr="009D2F91">
              <w:rPr>
                <w:sz w:val="20"/>
                <w:szCs w:val="20"/>
              </w:rPr>
              <w:t xml:space="preserve">Page </w:t>
            </w:r>
            <w:r w:rsidRPr="009D2F91">
              <w:rPr>
                <w:b/>
                <w:bCs/>
                <w:sz w:val="20"/>
                <w:szCs w:val="20"/>
              </w:rPr>
              <w:fldChar w:fldCharType="begin"/>
            </w:r>
            <w:r w:rsidRPr="009D2F91">
              <w:rPr>
                <w:b/>
                <w:bCs/>
                <w:sz w:val="20"/>
                <w:szCs w:val="20"/>
              </w:rPr>
              <w:instrText xml:space="preserve"> PAGE </w:instrText>
            </w:r>
            <w:r w:rsidRPr="009D2F91">
              <w:rPr>
                <w:b/>
                <w:bCs/>
                <w:sz w:val="20"/>
                <w:szCs w:val="20"/>
              </w:rPr>
              <w:fldChar w:fldCharType="separate"/>
            </w:r>
            <w:r w:rsidR="0098430A">
              <w:rPr>
                <w:b/>
                <w:bCs/>
                <w:noProof/>
                <w:sz w:val="20"/>
                <w:szCs w:val="20"/>
              </w:rPr>
              <w:t>2</w:t>
            </w:r>
            <w:r w:rsidRPr="009D2F91">
              <w:rPr>
                <w:b/>
                <w:bCs/>
                <w:sz w:val="20"/>
                <w:szCs w:val="20"/>
              </w:rPr>
              <w:fldChar w:fldCharType="end"/>
            </w:r>
            <w:r w:rsidRPr="009D2F91">
              <w:rPr>
                <w:sz w:val="20"/>
                <w:szCs w:val="20"/>
              </w:rPr>
              <w:t xml:space="preserve"> of </w:t>
            </w:r>
            <w:r w:rsidRPr="009D2F91">
              <w:rPr>
                <w:b/>
                <w:bCs/>
                <w:sz w:val="20"/>
                <w:szCs w:val="20"/>
              </w:rPr>
              <w:fldChar w:fldCharType="begin"/>
            </w:r>
            <w:r w:rsidRPr="009D2F91">
              <w:rPr>
                <w:b/>
                <w:bCs/>
                <w:sz w:val="20"/>
                <w:szCs w:val="20"/>
              </w:rPr>
              <w:instrText xml:space="preserve"> NUMPAGES  </w:instrText>
            </w:r>
            <w:r w:rsidRPr="009D2F91">
              <w:rPr>
                <w:b/>
                <w:bCs/>
                <w:sz w:val="20"/>
                <w:szCs w:val="20"/>
              </w:rPr>
              <w:fldChar w:fldCharType="separate"/>
            </w:r>
            <w:r w:rsidR="0098430A">
              <w:rPr>
                <w:b/>
                <w:bCs/>
                <w:noProof/>
                <w:sz w:val="20"/>
                <w:szCs w:val="20"/>
              </w:rPr>
              <w:t>2</w:t>
            </w:r>
            <w:r w:rsidRPr="009D2F91">
              <w:rPr>
                <w:b/>
                <w:bCs/>
                <w:sz w:val="20"/>
                <w:szCs w:val="20"/>
              </w:rPr>
              <w:fldChar w:fldCharType="end"/>
            </w:r>
          </w:p>
        </w:sdtContent>
      </w:sdt>
    </w:sdtContent>
  </w:sdt>
  <w:p w:rsidR="009D2F91" w:rsidRDefault="009D2F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BD1" w:rsidRDefault="00E54BD1" w:rsidP="00E54BD1">
      <w:pPr>
        <w:spacing w:after="0" w:line="240" w:lineRule="auto"/>
      </w:pPr>
      <w:r>
        <w:separator/>
      </w:r>
    </w:p>
  </w:footnote>
  <w:footnote w:type="continuationSeparator" w:id="0">
    <w:p w:rsidR="00E54BD1" w:rsidRDefault="00E54BD1" w:rsidP="00E54B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BD1" w:rsidRDefault="00E54BD1">
    <w:pPr>
      <w:pStyle w:val="Header"/>
    </w:pPr>
  </w:p>
  <w:p w:rsidR="00A65917" w:rsidRDefault="00A65917">
    <w:pPr>
      <w:pStyle w:val="Header"/>
    </w:pPr>
  </w:p>
  <w:p w:rsidR="00E54BD1" w:rsidRDefault="00E54BD1">
    <w:pPr>
      <w:pStyle w:val="Header"/>
    </w:pPr>
    <w:r>
      <w:rPr>
        <w:rFonts w:cs="Arial"/>
        <w:b/>
        <w:noProof/>
        <w:color w:val="008080"/>
      </w:rPr>
      <w:drawing>
        <wp:anchor distT="0" distB="0" distL="114300" distR="114300" simplePos="0" relativeHeight="251659264" behindDoc="1" locked="0" layoutInCell="1" allowOverlap="1">
          <wp:simplePos x="0" y="0"/>
          <wp:positionH relativeFrom="margin">
            <wp:align>right</wp:align>
          </wp:positionH>
          <wp:positionV relativeFrom="paragraph">
            <wp:posOffset>-190500</wp:posOffset>
          </wp:positionV>
          <wp:extent cx="1725871" cy="552450"/>
          <wp:effectExtent l="0" t="0" r="8255" b="0"/>
          <wp:wrapNone/>
          <wp:docPr id="9" name="Picture 9" descr="This graphic reads as:  American Job Center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graphic reads as:  American Job Center Networ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5871"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-38100</wp:posOffset>
          </wp:positionH>
          <wp:positionV relativeFrom="paragraph">
            <wp:posOffset>-309245</wp:posOffset>
          </wp:positionV>
          <wp:extent cx="4027170" cy="761933"/>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ief Elected Officials Board.jpg"/>
                  <pic:cNvPicPr/>
                </pic:nvPicPr>
                <pic:blipFill rotWithShape="1">
                  <a:blip r:embed="rId2" cstate="print">
                    <a:extLst>
                      <a:ext uri="{28A0092B-C50C-407E-A947-70E740481C1C}">
                        <a14:useLocalDpi xmlns:a14="http://schemas.microsoft.com/office/drawing/2010/main" val="0"/>
                      </a:ext>
                    </a:extLst>
                  </a:blip>
                  <a:srcRect l="8422" t="25366" r="10572" b="18271"/>
                  <a:stretch/>
                </pic:blipFill>
                <pic:spPr bwMode="auto">
                  <a:xfrm>
                    <a:off x="0" y="0"/>
                    <a:ext cx="4027170" cy="761933"/>
                  </a:xfrm>
                  <a:prstGeom prst="rect">
                    <a:avLst/>
                  </a:prstGeom>
                  <a:ln>
                    <a:noFill/>
                  </a:ln>
                  <a:extLst>
                    <a:ext uri="{53640926-AAD7-44D8-BBD7-CCE9431645EC}">
                      <a14:shadowObscured xmlns:a14="http://schemas.microsoft.com/office/drawing/2010/main"/>
                    </a:ext>
                  </a:extLst>
                </pic:spPr>
              </pic:pic>
            </a:graphicData>
          </a:graphic>
        </wp:anchor>
      </w:drawing>
    </w:r>
  </w:p>
  <w:p w:rsidR="00E54BD1" w:rsidRPr="00E54BD1" w:rsidRDefault="00E54BD1" w:rsidP="00E54BD1">
    <w:pPr>
      <w:pStyle w:val="Header"/>
      <w:ind w:right="-18"/>
      <w:rPr>
        <w:rFonts w:cs="Arial"/>
        <w:b/>
      </w:rPr>
    </w:pPr>
    <w:r w:rsidRPr="00E54BD1">
      <w:rPr>
        <w:rFonts w:cs="Arial"/>
        <w:b/>
      </w:rPr>
      <w:tab/>
      <w:t xml:space="preserve">                                       </w:t>
    </w:r>
  </w:p>
  <w:p w:rsidR="00685C25" w:rsidRDefault="00685C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D17"/>
    <w:multiLevelType w:val="hybridMultilevel"/>
    <w:tmpl w:val="1E0CF828"/>
    <w:lvl w:ilvl="0" w:tplc="EE328E06">
      <w:numFmt w:val="bullet"/>
      <w:lvlText w:val=""/>
      <w:lvlJc w:val="left"/>
      <w:pPr>
        <w:ind w:left="720" w:hanging="360"/>
      </w:pPr>
      <w:rPr>
        <w:rFonts w:ascii="Times New Roman" w:eastAsia="+mn-e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45DB7"/>
    <w:multiLevelType w:val="hybridMultilevel"/>
    <w:tmpl w:val="39140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25B1C"/>
    <w:multiLevelType w:val="hybridMultilevel"/>
    <w:tmpl w:val="C1A44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448DC"/>
    <w:multiLevelType w:val="hybridMultilevel"/>
    <w:tmpl w:val="AFB66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D76E5"/>
    <w:multiLevelType w:val="hybridMultilevel"/>
    <w:tmpl w:val="0F92A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A7852"/>
    <w:multiLevelType w:val="hybridMultilevel"/>
    <w:tmpl w:val="6A9EC5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17007"/>
    <w:multiLevelType w:val="hybridMultilevel"/>
    <w:tmpl w:val="1C2E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C5C9B"/>
    <w:multiLevelType w:val="hybridMultilevel"/>
    <w:tmpl w:val="DDEE8BA8"/>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976D0"/>
    <w:multiLevelType w:val="hybridMultilevel"/>
    <w:tmpl w:val="43DCB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03C26"/>
    <w:multiLevelType w:val="hybridMultilevel"/>
    <w:tmpl w:val="83B686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A6720"/>
    <w:multiLevelType w:val="hybridMultilevel"/>
    <w:tmpl w:val="054EC928"/>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5F4837"/>
    <w:multiLevelType w:val="hybridMultilevel"/>
    <w:tmpl w:val="32F43824"/>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1446AD"/>
    <w:multiLevelType w:val="hybridMultilevel"/>
    <w:tmpl w:val="E97A98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30198C"/>
    <w:multiLevelType w:val="hybridMultilevel"/>
    <w:tmpl w:val="2278DD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786EAF"/>
    <w:multiLevelType w:val="hybridMultilevel"/>
    <w:tmpl w:val="EDC8D9BA"/>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32495C"/>
    <w:multiLevelType w:val="hybridMultilevel"/>
    <w:tmpl w:val="BC603A3E"/>
    <w:lvl w:ilvl="0" w:tplc="F09E6A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226DC3"/>
    <w:multiLevelType w:val="hybridMultilevel"/>
    <w:tmpl w:val="BA108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FA487A"/>
    <w:multiLevelType w:val="hybridMultilevel"/>
    <w:tmpl w:val="8ED4E540"/>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7D2B8B"/>
    <w:multiLevelType w:val="hybridMultilevel"/>
    <w:tmpl w:val="5ABEBE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FD3825"/>
    <w:multiLevelType w:val="hybridMultilevel"/>
    <w:tmpl w:val="5C56E4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4C812F1"/>
    <w:multiLevelType w:val="hybridMultilevel"/>
    <w:tmpl w:val="D60AD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9F4A00"/>
    <w:multiLevelType w:val="hybridMultilevel"/>
    <w:tmpl w:val="35A2EE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544914"/>
    <w:multiLevelType w:val="hybridMultilevel"/>
    <w:tmpl w:val="81D07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835029"/>
    <w:multiLevelType w:val="hybridMultilevel"/>
    <w:tmpl w:val="0D141B2C"/>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3A2141"/>
    <w:multiLevelType w:val="hybridMultilevel"/>
    <w:tmpl w:val="B4D620F2"/>
    <w:lvl w:ilvl="0" w:tplc="707243F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063D22"/>
    <w:multiLevelType w:val="hybridMultilevel"/>
    <w:tmpl w:val="242C2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5C0C38"/>
    <w:multiLevelType w:val="hybridMultilevel"/>
    <w:tmpl w:val="0A8C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DC7D55"/>
    <w:multiLevelType w:val="hybridMultilevel"/>
    <w:tmpl w:val="86F4AD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CD7C10"/>
    <w:multiLevelType w:val="hybridMultilevel"/>
    <w:tmpl w:val="7FC0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F5329E"/>
    <w:multiLevelType w:val="hybridMultilevel"/>
    <w:tmpl w:val="3C4482A8"/>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6C04F6"/>
    <w:multiLevelType w:val="hybridMultilevel"/>
    <w:tmpl w:val="05D4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94327F"/>
    <w:multiLevelType w:val="hybridMultilevel"/>
    <w:tmpl w:val="CA18979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15:restartNumberingAfterBreak="0">
    <w:nsid w:val="6EE932A4"/>
    <w:multiLevelType w:val="hybridMultilevel"/>
    <w:tmpl w:val="DF56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66551E"/>
    <w:multiLevelType w:val="hybridMultilevel"/>
    <w:tmpl w:val="8FEE0E14"/>
    <w:lvl w:ilvl="0" w:tplc="74C63D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7530F4"/>
    <w:multiLevelType w:val="hybridMultilevel"/>
    <w:tmpl w:val="06F64C3A"/>
    <w:lvl w:ilvl="0" w:tplc="0409000F">
      <w:start w:val="1"/>
      <w:numFmt w:val="decimal"/>
      <w:lvlText w:val="%1."/>
      <w:lvlJc w:val="left"/>
      <w:pPr>
        <w:ind w:left="360" w:hanging="360"/>
      </w:pPr>
    </w:lvl>
    <w:lvl w:ilvl="1" w:tplc="BBDEB7C2">
      <w:numFmt w:val="bullet"/>
      <w:lvlText w:val=""/>
      <w:lvlJc w:val="left"/>
      <w:pPr>
        <w:ind w:left="1080" w:hanging="360"/>
      </w:pPr>
      <w:rPr>
        <w:rFonts w:ascii="Symbol" w:eastAsiaTheme="minorHAnsi" w:hAnsi="Symbol"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5DF3B0B"/>
    <w:multiLevelType w:val="hybridMultilevel"/>
    <w:tmpl w:val="EE002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373F57"/>
    <w:multiLevelType w:val="hybridMultilevel"/>
    <w:tmpl w:val="7728D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E05711"/>
    <w:multiLevelType w:val="hybridMultilevel"/>
    <w:tmpl w:val="ED183C6C"/>
    <w:lvl w:ilvl="0" w:tplc="CCB0F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3"/>
  </w:num>
  <w:num w:numId="3">
    <w:abstractNumId w:val="32"/>
  </w:num>
  <w:num w:numId="4">
    <w:abstractNumId w:val="24"/>
  </w:num>
  <w:num w:numId="5">
    <w:abstractNumId w:val="26"/>
  </w:num>
  <w:num w:numId="6">
    <w:abstractNumId w:val="3"/>
  </w:num>
  <w:num w:numId="7">
    <w:abstractNumId w:val="34"/>
  </w:num>
  <w:num w:numId="8">
    <w:abstractNumId w:val="6"/>
  </w:num>
  <w:num w:numId="9">
    <w:abstractNumId w:val="0"/>
  </w:num>
  <w:num w:numId="10">
    <w:abstractNumId w:val="4"/>
  </w:num>
  <w:num w:numId="11">
    <w:abstractNumId w:val="30"/>
  </w:num>
  <w:num w:numId="12">
    <w:abstractNumId w:val="37"/>
  </w:num>
  <w:num w:numId="13">
    <w:abstractNumId w:val="20"/>
  </w:num>
  <w:num w:numId="14">
    <w:abstractNumId w:val="28"/>
  </w:num>
  <w:num w:numId="15">
    <w:abstractNumId w:val="25"/>
  </w:num>
  <w:num w:numId="16">
    <w:abstractNumId w:val="36"/>
  </w:num>
  <w:num w:numId="17">
    <w:abstractNumId w:val="5"/>
  </w:num>
  <w:num w:numId="18">
    <w:abstractNumId w:val="31"/>
  </w:num>
  <w:num w:numId="19">
    <w:abstractNumId w:val="22"/>
  </w:num>
  <w:num w:numId="20">
    <w:abstractNumId w:val="18"/>
  </w:num>
  <w:num w:numId="21">
    <w:abstractNumId w:val="21"/>
  </w:num>
  <w:num w:numId="22">
    <w:abstractNumId w:val="2"/>
  </w:num>
  <w:num w:numId="23">
    <w:abstractNumId w:val="12"/>
  </w:num>
  <w:num w:numId="24">
    <w:abstractNumId w:val="16"/>
  </w:num>
  <w:num w:numId="25">
    <w:abstractNumId w:val="15"/>
  </w:num>
  <w:num w:numId="26">
    <w:abstractNumId w:val="1"/>
  </w:num>
  <w:num w:numId="27">
    <w:abstractNumId w:val="35"/>
  </w:num>
  <w:num w:numId="28">
    <w:abstractNumId w:val="27"/>
  </w:num>
  <w:num w:numId="29">
    <w:abstractNumId w:val="8"/>
  </w:num>
  <w:num w:numId="30">
    <w:abstractNumId w:val="9"/>
  </w:num>
  <w:num w:numId="31">
    <w:abstractNumId w:val="13"/>
  </w:num>
  <w:num w:numId="32">
    <w:abstractNumId w:val="11"/>
  </w:num>
  <w:num w:numId="33">
    <w:abstractNumId w:val="10"/>
  </w:num>
  <w:num w:numId="34">
    <w:abstractNumId w:val="7"/>
  </w:num>
  <w:num w:numId="35">
    <w:abstractNumId w:val="17"/>
  </w:num>
  <w:num w:numId="36">
    <w:abstractNumId w:val="14"/>
  </w:num>
  <w:num w:numId="37">
    <w:abstractNumId w:val="23"/>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BD1"/>
    <w:rsid w:val="000D2A21"/>
    <w:rsid w:val="001657D1"/>
    <w:rsid w:val="001812AD"/>
    <w:rsid w:val="001C6E13"/>
    <w:rsid w:val="001E5A01"/>
    <w:rsid w:val="00242A84"/>
    <w:rsid w:val="00271DC0"/>
    <w:rsid w:val="002B7A4D"/>
    <w:rsid w:val="003822D7"/>
    <w:rsid w:val="0039572C"/>
    <w:rsid w:val="003B7519"/>
    <w:rsid w:val="004E704B"/>
    <w:rsid w:val="005B0793"/>
    <w:rsid w:val="005C1C08"/>
    <w:rsid w:val="00600FFB"/>
    <w:rsid w:val="0064564D"/>
    <w:rsid w:val="00685C25"/>
    <w:rsid w:val="006F2509"/>
    <w:rsid w:val="00705992"/>
    <w:rsid w:val="0073736B"/>
    <w:rsid w:val="00750CEC"/>
    <w:rsid w:val="007D6F57"/>
    <w:rsid w:val="00817949"/>
    <w:rsid w:val="008C71EE"/>
    <w:rsid w:val="008D74D6"/>
    <w:rsid w:val="009126BD"/>
    <w:rsid w:val="00925529"/>
    <w:rsid w:val="00942EBD"/>
    <w:rsid w:val="0098430A"/>
    <w:rsid w:val="009D2F91"/>
    <w:rsid w:val="009E5E0D"/>
    <w:rsid w:val="00A24959"/>
    <w:rsid w:val="00A454BA"/>
    <w:rsid w:val="00A65917"/>
    <w:rsid w:val="00A93C42"/>
    <w:rsid w:val="00AC48E5"/>
    <w:rsid w:val="00B34E0F"/>
    <w:rsid w:val="00BB5A73"/>
    <w:rsid w:val="00BD7645"/>
    <w:rsid w:val="00BE7F01"/>
    <w:rsid w:val="00C06578"/>
    <w:rsid w:val="00C55F97"/>
    <w:rsid w:val="00C66F5B"/>
    <w:rsid w:val="00D817BD"/>
    <w:rsid w:val="00D91D3D"/>
    <w:rsid w:val="00DA155F"/>
    <w:rsid w:val="00E54BD1"/>
    <w:rsid w:val="00E7754D"/>
    <w:rsid w:val="00E85B50"/>
    <w:rsid w:val="00EA508E"/>
    <w:rsid w:val="00F2226C"/>
    <w:rsid w:val="00F528B1"/>
    <w:rsid w:val="00F60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557305E-F948-48E0-A7CC-AE90473E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BD1"/>
  </w:style>
  <w:style w:type="paragraph" w:styleId="Footer">
    <w:name w:val="footer"/>
    <w:basedOn w:val="Normal"/>
    <w:link w:val="FooterChar"/>
    <w:uiPriority w:val="99"/>
    <w:unhideWhenUsed/>
    <w:rsid w:val="00E54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BD1"/>
  </w:style>
  <w:style w:type="character" w:styleId="Hyperlink">
    <w:name w:val="Hyperlink"/>
    <w:uiPriority w:val="99"/>
    <w:rsid w:val="00E54BD1"/>
    <w:rPr>
      <w:color w:val="0000FF"/>
      <w:u w:val="single"/>
    </w:rPr>
  </w:style>
  <w:style w:type="table" w:styleId="TableGrid">
    <w:name w:val="Table Grid"/>
    <w:basedOn w:val="TableNormal"/>
    <w:rsid w:val="00E54B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BD1"/>
    <w:rPr>
      <w:rFonts w:ascii="Segoe UI" w:hAnsi="Segoe UI" w:cs="Segoe UI"/>
      <w:sz w:val="18"/>
      <w:szCs w:val="18"/>
    </w:rPr>
  </w:style>
  <w:style w:type="paragraph" w:styleId="FootnoteText">
    <w:name w:val="footnote text"/>
    <w:basedOn w:val="Normal"/>
    <w:link w:val="FootnoteTextChar"/>
    <w:rsid w:val="00685C2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685C25"/>
    <w:rPr>
      <w:rFonts w:ascii="Arial" w:eastAsia="Times New Roman" w:hAnsi="Arial" w:cs="Times New Roman"/>
      <w:sz w:val="20"/>
      <w:szCs w:val="20"/>
    </w:rPr>
  </w:style>
  <w:style w:type="character" w:styleId="FootnoteReference">
    <w:name w:val="footnote reference"/>
    <w:basedOn w:val="DefaultParagraphFont"/>
    <w:rsid w:val="00685C25"/>
    <w:rPr>
      <w:vertAlign w:val="superscript"/>
    </w:rPr>
  </w:style>
  <w:style w:type="paragraph" w:styleId="NormalWeb">
    <w:name w:val="Normal (Web)"/>
    <w:basedOn w:val="Normal"/>
    <w:uiPriority w:val="99"/>
    <w:semiHidden/>
    <w:unhideWhenUsed/>
    <w:rsid w:val="009D2F91"/>
    <w:pPr>
      <w:spacing w:before="100" w:beforeAutospacing="1" w:after="100" w:afterAutospacing="1" w:line="240" w:lineRule="auto"/>
    </w:pPr>
    <w:rPr>
      <w:rFonts w:eastAsia="Times New Roman" w:cs="Times New Roman"/>
      <w:sz w:val="24"/>
      <w:szCs w:val="24"/>
    </w:rPr>
  </w:style>
  <w:style w:type="paragraph" w:customStyle="1" w:styleId="Default">
    <w:name w:val="Default"/>
    <w:rsid w:val="00750CE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9E5E0D"/>
    <w:pPr>
      <w:widowControl w:val="0"/>
      <w:spacing w:after="0" w:line="240" w:lineRule="auto"/>
      <w:ind w:left="1207"/>
    </w:pPr>
    <w:rPr>
      <w:rFonts w:ascii="Arial" w:eastAsia="Arial" w:hAnsi="Arial"/>
      <w:sz w:val="21"/>
      <w:szCs w:val="21"/>
    </w:rPr>
  </w:style>
  <w:style w:type="character" w:customStyle="1" w:styleId="BodyTextChar">
    <w:name w:val="Body Text Char"/>
    <w:basedOn w:val="DefaultParagraphFont"/>
    <w:link w:val="BodyText"/>
    <w:uiPriority w:val="1"/>
    <w:rsid w:val="009E5E0D"/>
    <w:rPr>
      <w:rFonts w:ascii="Arial" w:eastAsia="Arial" w:hAnsi="Arial"/>
      <w:sz w:val="21"/>
      <w:szCs w:val="21"/>
    </w:rPr>
  </w:style>
  <w:style w:type="paragraph" w:styleId="ListParagraph">
    <w:name w:val="List Paragraph"/>
    <w:basedOn w:val="Normal"/>
    <w:uiPriority w:val="34"/>
    <w:qFormat/>
    <w:rsid w:val="00395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07766">
      <w:bodyDiv w:val="1"/>
      <w:marLeft w:val="0"/>
      <w:marRight w:val="0"/>
      <w:marTop w:val="0"/>
      <w:marBottom w:val="0"/>
      <w:divBdr>
        <w:top w:val="none" w:sz="0" w:space="0" w:color="auto"/>
        <w:left w:val="none" w:sz="0" w:space="0" w:color="auto"/>
        <w:bottom w:val="none" w:sz="0" w:space="0" w:color="auto"/>
        <w:right w:val="none" w:sz="0" w:space="0" w:color="auto"/>
      </w:divBdr>
    </w:div>
    <w:div w:id="1001349366">
      <w:bodyDiv w:val="1"/>
      <w:marLeft w:val="0"/>
      <w:marRight w:val="0"/>
      <w:marTop w:val="0"/>
      <w:marBottom w:val="0"/>
      <w:divBdr>
        <w:top w:val="none" w:sz="0" w:space="0" w:color="auto"/>
        <w:left w:val="none" w:sz="0" w:space="0" w:color="auto"/>
        <w:bottom w:val="none" w:sz="0" w:space="0" w:color="auto"/>
        <w:right w:val="none" w:sz="0" w:space="0" w:color="auto"/>
      </w:divBdr>
    </w:div>
    <w:div w:id="1806046560">
      <w:bodyDiv w:val="1"/>
      <w:marLeft w:val="0"/>
      <w:marRight w:val="0"/>
      <w:marTop w:val="0"/>
      <w:marBottom w:val="0"/>
      <w:divBdr>
        <w:top w:val="none" w:sz="0" w:space="0" w:color="auto"/>
        <w:left w:val="none" w:sz="0" w:space="0" w:color="auto"/>
        <w:bottom w:val="none" w:sz="0" w:space="0" w:color="auto"/>
        <w:right w:val="none" w:sz="0" w:space="0" w:color="auto"/>
      </w:divBdr>
    </w:div>
    <w:div w:id="195443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ol.greaternebraska@nebrask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F953E-C04A-4C85-AA4C-DEEFE1646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Wren, Dylan</dc:creator>
  <cp:keywords/>
  <dc:description/>
  <cp:lastModifiedBy>Wren, Dylan</cp:lastModifiedBy>
  <cp:revision>6</cp:revision>
  <cp:lastPrinted>2017-01-19T13:26:00Z</cp:lastPrinted>
  <dcterms:created xsi:type="dcterms:W3CDTF">2017-05-12T21:40:00Z</dcterms:created>
  <dcterms:modified xsi:type="dcterms:W3CDTF">2017-07-03T14:05:00Z</dcterms:modified>
</cp:coreProperties>
</file>