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horzAnchor="margin" w:tblpXSpec="right" w:tblpY="91"/>
        <w:tblW w:w="0" w:type="auto"/>
        <w:tblLook w:val="04A0" w:firstRow="1" w:lastRow="0" w:firstColumn="1" w:lastColumn="0" w:noHBand="0" w:noVBand="1"/>
      </w:tblPr>
      <w:tblGrid>
        <w:gridCol w:w="1620"/>
        <w:gridCol w:w="1795"/>
      </w:tblGrid>
      <w:tr w:rsidR="00E81451" w:rsidRPr="00E81451" w:rsidTr="00E81451">
        <w:tc>
          <w:tcPr>
            <w:tcW w:w="1620" w:type="dxa"/>
          </w:tcPr>
          <w:p w:rsidR="00E81451" w:rsidRPr="00E81451" w:rsidRDefault="00E81451" w:rsidP="00E81451">
            <w:pPr>
              <w:rPr>
                <w:rFonts w:ascii="Arial" w:eastAsia="Calibri" w:hAnsi="Arial" w:cs="Arial"/>
                <w:sz w:val="20"/>
                <w:szCs w:val="20"/>
              </w:rPr>
            </w:pPr>
            <w:bookmarkStart w:id="0" w:name="_GoBack"/>
            <w:bookmarkEnd w:id="0"/>
            <w:r w:rsidRPr="00E81451">
              <w:rPr>
                <w:rFonts w:ascii="Arial" w:eastAsia="Calibri" w:hAnsi="Arial" w:cs="Arial"/>
                <w:sz w:val="20"/>
                <w:szCs w:val="20"/>
              </w:rPr>
              <w:t xml:space="preserve">Policy No. </w:t>
            </w:r>
          </w:p>
        </w:tc>
        <w:tc>
          <w:tcPr>
            <w:tcW w:w="1795" w:type="dxa"/>
          </w:tcPr>
          <w:p w:rsidR="00E81451" w:rsidRPr="00E81451" w:rsidRDefault="00FE074E" w:rsidP="00E81451">
            <w:pPr>
              <w:rPr>
                <w:rFonts w:ascii="Arial" w:eastAsia="Calibri" w:hAnsi="Arial" w:cs="Arial"/>
                <w:sz w:val="72"/>
                <w:szCs w:val="72"/>
              </w:rPr>
            </w:pPr>
            <w:r>
              <w:rPr>
                <w:rFonts w:ascii="Montserrat-Bold" w:eastAsia="Calibri" w:hAnsi="Montserrat-Bold" w:cs="Montserrat-Bold"/>
                <w:b/>
                <w:bCs/>
                <w:color w:val="BB1F53"/>
                <w:sz w:val="72"/>
                <w:szCs w:val="72"/>
              </w:rPr>
              <w:t>3</w:t>
            </w:r>
          </w:p>
        </w:tc>
      </w:tr>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Effective Date</w:t>
            </w:r>
          </w:p>
        </w:tc>
        <w:tc>
          <w:tcPr>
            <w:tcW w:w="1795" w:type="dxa"/>
          </w:tcPr>
          <w:p w:rsidR="00E81451" w:rsidRPr="00E81451" w:rsidRDefault="00D75712" w:rsidP="00E81451">
            <w:pPr>
              <w:rPr>
                <w:rFonts w:ascii="Arial" w:eastAsia="Calibri" w:hAnsi="Arial" w:cs="Arial"/>
                <w:sz w:val="20"/>
                <w:szCs w:val="20"/>
              </w:rPr>
            </w:pPr>
            <w:r>
              <w:rPr>
                <w:rFonts w:ascii="Arial" w:eastAsia="Calibri" w:hAnsi="Arial" w:cs="Arial"/>
                <w:sz w:val="20"/>
                <w:szCs w:val="20"/>
              </w:rPr>
              <w:t>10/24</w:t>
            </w:r>
            <w:r w:rsidR="00FE432E">
              <w:rPr>
                <w:rFonts w:ascii="Arial" w:eastAsia="Calibri" w:hAnsi="Arial" w:cs="Arial"/>
                <w:sz w:val="20"/>
                <w:szCs w:val="20"/>
              </w:rPr>
              <w:t>/2019</w:t>
            </w:r>
          </w:p>
        </w:tc>
      </w:tr>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Approval </w:t>
            </w:r>
          </w:p>
        </w:tc>
        <w:tc>
          <w:tcPr>
            <w:tcW w:w="1795"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GNWDB </w:t>
            </w:r>
          </w:p>
        </w:tc>
      </w:tr>
    </w:tbl>
    <w:p w:rsidR="00E81451" w:rsidRPr="00D75712" w:rsidRDefault="00895F9C" w:rsidP="00D75712">
      <w:pPr>
        <w:rPr>
          <w:rFonts w:ascii="Arial" w:hAnsi="Arial" w:cs="Arial"/>
          <w:b/>
          <w:bCs/>
          <w:color w:val="00607F"/>
          <w:sz w:val="48"/>
          <w:szCs w:val="48"/>
        </w:rPr>
      </w:pPr>
      <w:r>
        <w:rPr>
          <w:rFonts w:ascii="Arial" w:hAnsi="Arial" w:cs="Arial"/>
          <w:b/>
          <w:bCs/>
          <w:color w:val="00607F"/>
          <w:sz w:val="48"/>
          <w:szCs w:val="48"/>
        </w:rPr>
        <w:t>Ad</w:t>
      </w:r>
      <w:r w:rsidR="00375A3D">
        <w:rPr>
          <w:rFonts w:ascii="Arial" w:hAnsi="Arial" w:cs="Arial"/>
          <w:b/>
          <w:bCs/>
          <w:color w:val="00607F"/>
          <w:sz w:val="48"/>
          <w:szCs w:val="48"/>
        </w:rPr>
        <w:t>ult &amp; Dislocated Worker Program Services</w:t>
      </w:r>
    </w:p>
    <w:p w:rsidR="00B22ED9" w:rsidRDefault="00B22ED9" w:rsidP="00685C25">
      <w:pPr>
        <w:spacing w:after="0" w:line="240" w:lineRule="auto"/>
        <w:rPr>
          <w:rFonts w:eastAsia="Times New Roman" w:cs="Times New Roman"/>
          <w:b/>
          <w:u w:val="single"/>
        </w:rPr>
      </w:pPr>
    </w:p>
    <w:p w:rsidR="00685C25" w:rsidRPr="001D3870" w:rsidRDefault="00685C25" w:rsidP="00E124F8">
      <w:pPr>
        <w:spacing w:after="0" w:line="240" w:lineRule="auto"/>
        <w:jc w:val="both"/>
        <w:rPr>
          <w:rFonts w:eastAsia="Times New Roman" w:cs="Times New Roman"/>
          <w:b/>
          <w:color w:val="00607F"/>
          <w:u w:val="single"/>
        </w:rPr>
      </w:pPr>
      <w:r w:rsidRPr="001D3870">
        <w:rPr>
          <w:rFonts w:eastAsia="+mn-ea" w:cs="Times New Roman"/>
          <w:b/>
          <w:bCs/>
          <w:color w:val="00607F"/>
          <w:kern w:val="24"/>
          <w:sz w:val="28"/>
          <w:szCs w:val="28"/>
          <w:u w:val="single"/>
        </w:rPr>
        <w:t>Reference</w:t>
      </w:r>
      <w:r w:rsidR="009D2F91" w:rsidRPr="001D3870">
        <w:rPr>
          <w:rFonts w:eastAsia="Times New Roman" w:cs="Times New Roman"/>
          <w:b/>
          <w:color w:val="00607F"/>
          <w:u w:val="single"/>
        </w:rPr>
        <w:t xml:space="preserve"> </w:t>
      </w:r>
    </w:p>
    <w:p w:rsidR="006C784E" w:rsidRPr="0037498D" w:rsidRDefault="00375A3D" w:rsidP="0037498D">
      <w:pPr>
        <w:pStyle w:val="Default"/>
        <w:rPr>
          <w:sz w:val="22"/>
          <w:szCs w:val="22"/>
        </w:rPr>
      </w:pPr>
      <w:r w:rsidRPr="0037498D">
        <w:rPr>
          <w:rFonts w:cs="Times New Roman"/>
          <w:sz w:val="22"/>
          <w:szCs w:val="22"/>
        </w:rPr>
        <w:t>TEGL 19-16</w:t>
      </w:r>
      <w:r w:rsidR="0006267B" w:rsidRPr="0037498D">
        <w:rPr>
          <w:rFonts w:cs="Times New Roman"/>
          <w:sz w:val="22"/>
          <w:szCs w:val="22"/>
        </w:rPr>
        <w:t>.</w:t>
      </w:r>
      <w:r w:rsidRPr="0037498D">
        <w:rPr>
          <w:rFonts w:cs="Times New Roman"/>
          <w:sz w:val="22"/>
          <w:szCs w:val="22"/>
        </w:rPr>
        <w:t xml:space="preserve"> </w:t>
      </w:r>
      <w:r w:rsidR="0037498D" w:rsidRPr="0037498D">
        <w:rPr>
          <w:sz w:val="22"/>
          <w:szCs w:val="22"/>
        </w:rPr>
        <w:t>20 USC § 1232g.</w:t>
      </w:r>
      <w:r w:rsidR="00110E90" w:rsidRPr="0037498D">
        <w:rPr>
          <w:sz w:val="22"/>
          <w:szCs w:val="22"/>
        </w:rPr>
        <w:t xml:space="preserve"> 34 CFR Part 99 </w:t>
      </w:r>
      <w:r w:rsidR="0037498D" w:rsidRPr="0037498D">
        <w:rPr>
          <w:sz w:val="22"/>
          <w:szCs w:val="22"/>
        </w:rPr>
        <w:t xml:space="preserve">20 CFR §§ 680.210-680.230 and 681.430(b).  </w:t>
      </w:r>
      <w:r w:rsidRPr="0037498D">
        <w:rPr>
          <w:rFonts w:cs="Times New Roman"/>
          <w:sz w:val="22"/>
          <w:szCs w:val="22"/>
        </w:rPr>
        <w:t xml:space="preserve">Nebraska Department of Labor, Adult and Dislocated Worker Programs policy. </w:t>
      </w:r>
    </w:p>
    <w:p w:rsidR="009E5E0D" w:rsidRPr="0080664C" w:rsidRDefault="009E5E0D" w:rsidP="00E124F8">
      <w:pPr>
        <w:spacing w:after="0" w:line="240" w:lineRule="auto"/>
        <w:jc w:val="both"/>
        <w:rPr>
          <w:rFonts w:eastAsia="Times New Roman" w:cs="Times New Roman"/>
        </w:rPr>
      </w:pPr>
    </w:p>
    <w:p w:rsidR="00685C25" w:rsidRPr="0080664C" w:rsidRDefault="00685C25" w:rsidP="00E53209">
      <w:pPr>
        <w:tabs>
          <w:tab w:val="left" w:pos="8595"/>
        </w:tabs>
        <w:spacing w:after="0" w:line="240" w:lineRule="auto"/>
        <w:jc w:val="both"/>
        <w:rPr>
          <w:rFonts w:eastAsia="+mn-ea" w:cs="Times New Roman"/>
          <w:b/>
          <w:bCs/>
          <w:color w:val="00607F"/>
          <w:kern w:val="24"/>
          <w:sz w:val="28"/>
          <w:szCs w:val="28"/>
          <w:u w:val="single"/>
        </w:rPr>
      </w:pPr>
      <w:r w:rsidRPr="0080664C">
        <w:rPr>
          <w:rFonts w:eastAsia="+mn-ea" w:cs="Times New Roman"/>
          <w:b/>
          <w:bCs/>
          <w:color w:val="00607F"/>
          <w:kern w:val="24"/>
          <w:sz w:val="28"/>
          <w:szCs w:val="28"/>
          <w:u w:val="single"/>
        </w:rPr>
        <w:t xml:space="preserve">Policy </w:t>
      </w:r>
      <w:r w:rsidR="00E53209">
        <w:rPr>
          <w:rFonts w:eastAsia="+mn-ea" w:cs="Times New Roman"/>
          <w:b/>
          <w:bCs/>
          <w:color w:val="00607F"/>
          <w:kern w:val="24"/>
          <w:sz w:val="28"/>
          <w:szCs w:val="28"/>
          <w:u w:val="single"/>
        </w:rPr>
        <w:tab/>
      </w:r>
    </w:p>
    <w:p w:rsidR="00045ECF" w:rsidRDefault="00045ECF" w:rsidP="00045ECF">
      <w:pPr>
        <w:spacing w:after="0" w:line="240" w:lineRule="auto"/>
        <w:jc w:val="both"/>
      </w:pPr>
    </w:p>
    <w:p w:rsidR="0006267B" w:rsidRPr="00852A48" w:rsidRDefault="00272E69" w:rsidP="00272E69">
      <w:pPr>
        <w:pStyle w:val="Style11"/>
        <w:spacing w:before="0" w:after="0"/>
        <w:jc w:val="both"/>
        <w:rPr>
          <w:rFonts w:eastAsia="+mn-ea"/>
          <w:b/>
          <w:color w:val="00607F"/>
          <w:kern w:val="24"/>
          <w:szCs w:val="22"/>
        </w:rPr>
      </w:pPr>
      <w:r w:rsidRPr="00852A48">
        <w:rPr>
          <w:rFonts w:eastAsia="+mn-ea"/>
          <w:b/>
          <w:color w:val="00607F"/>
          <w:kern w:val="24"/>
          <w:szCs w:val="22"/>
        </w:rPr>
        <w:t>Adult &amp; Dislocated Worker Program Services</w:t>
      </w:r>
    </w:p>
    <w:p w:rsidR="00A6073D" w:rsidRPr="00852A48" w:rsidRDefault="00A6073D" w:rsidP="007E34DB">
      <w:pPr>
        <w:spacing w:after="0" w:line="240" w:lineRule="auto"/>
        <w:jc w:val="both"/>
        <w:rPr>
          <w:rFonts w:ascii="Arial" w:hAnsi="Arial" w:cs="Arial"/>
        </w:rPr>
      </w:pPr>
    </w:p>
    <w:p w:rsidR="00A6073D" w:rsidRPr="00852A48" w:rsidRDefault="00895F9C" w:rsidP="007E34DB">
      <w:pPr>
        <w:spacing w:after="0" w:line="240" w:lineRule="auto"/>
        <w:jc w:val="both"/>
        <w:rPr>
          <w:rFonts w:ascii="Arial" w:hAnsi="Arial" w:cs="Arial"/>
          <w:b/>
          <w:color w:val="BB1F53"/>
        </w:rPr>
      </w:pPr>
      <w:r w:rsidRPr="00852A48">
        <w:rPr>
          <w:rFonts w:ascii="Arial" w:hAnsi="Arial" w:cs="Arial"/>
          <w:b/>
          <w:color w:val="BB1F53"/>
        </w:rPr>
        <w:t>Career Services</w:t>
      </w:r>
    </w:p>
    <w:p w:rsidR="009B11BA" w:rsidRPr="00852A48" w:rsidRDefault="009B11BA" w:rsidP="007E34DB">
      <w:pPr>
        <w:spacing w:after="0" w:line="240" w:lineRule="auto"/>
        <w:jc w:val="both"/>
        <w:rPr>
          <w:rFonts w:ascii="Arial" w:hAnsi="Arial" w:cs="Arial"/>
          <w:b/>
          <w:color w:val="BB1F53"/>
        </w:rPr>
      </w:pPr>
    </w:p>
    <w:p w:rsidR="00843F9D" w:rsidRPr="00852A48" w:rsidRDefault="00843F9D" w:rsidP="00895F9C">
      <w:pPr>
        <w:pStyle w:val="Default"/>
        <w:rPr>
          <w:sz w:val="22"/>
          <w:szCs w:val="22"/>
        </w:rPr>
      </w:pPr>
      <w:r w:rsidRPr="00852A48">
        <w:rPr>
          <w:sz w:val="22"/>
          <w:szCs w:val="22"/>
        </w:rPr>
        <w:t xml:space="preserve">There are three types of career services available to adults and dislocated workers (DLW): basic career services, individualized career services, and follow up services. </w:t>
      </w:r>
      <w:r w:rsidR="0072264E" w:rsidRPr="00852A48">
        <w:rPr>
          <w:sz w:val="22"/>
          <w:szCs w:val="22"/>
        </w:rPr>
        <w:t xml:space="preserve">There is no sequence of service requirements for career services. </w:t>
      </w:r>
    </w:p>
    <w:p w:rsidR="0072264E" w:rsidRPr="00852A48" w:rsidRDefault="0072264E" w:rsidP="00895F9C">
      <w:pPr>
        <w:pStyle w:val="Default"/>
        <w:rPr>
          <w:sz w:val="22"/>
          <w:szCs w:val="22"/>
        </w:rPr>
      </w:pPr>
    </w:p>
    <w:p w:rsidR="0072264E" w:rsidRPr="00852A48" w:rsidRDefault="0072264E" w:rsidP="00895F9C">
      <w:pPr>
        <w:pStyle w:val="Default"/>
        <w:rPr>
          <w:color w:val="00607F"/>
          <w:sz w:val="22"/>
          <w:szCs w:val="22"/>
        </w:rPr>
      </w:pPr>
      <w:r w:rsidRPr="00852A48">
        <w:rPr>
          <w:color w:val="00607F"/>
          <w:sz w:val="22"/>
          <w:szCs w:val="22"/>
        </w:rPr>
        <w:t>Basic Career Services</w:t>
      </w:r>
    </w:p>
    <w:p w:rsidR="009B11BA" w:rsidRPr="00852A48" w:rsidRDefault="009B11BA" w:rsidP="00895F9C">
      <w:pPr>
        <w:pStyle w:val="Default"/>
        <w:rPr>
          <w:color w:val="00607F"/>
          <w:sz w:val="22"/>
          <w:szCs w:val="22"/>
        </w:rPr>
      </w:pPr>
    </w:p>
    <w:p w:rsidR="00843F9D" w:rsidRPr="00852A48" w:rsidRDefault="0072264E" w:rsidP="00895F9C">
      <w:pPr>
        <w:pStyle w:val="Default"/>
        <w:rPr>
          <w:sz w:val="22"/>
          <w:szCs w:val="22"/>
        </w:rPr>
      </w:pPr>
      <w:r w:rsidRPr="00852A48">
        <w:rPr>
          <w:sz w:val="22"/>
          <w:szCs w:val="22"/>
        </w:rPr>
        <w:t xml:space="preserve">Basic </w:t>
      </w:r>
      <w:r w:rsidR="00AD1790">
        <w:rPr>
          <w:sz w:val="22"/>
          <w:szCs w:val="22"/>
        </w:rPr>
        <w:t>career services are considered universal services</w:t>
      </w:r>
      <w:r w:rsidRPr="00852A48">
        <w:rPr>
          <w:sz w:val="22"/>
          <w:szCs w:val="22"/>
        </w:rPr>
        <w:t xml:space="preserve"> and do not require an eligibility determination or enrollment</w:t>
      </w:r>
      <w:r w:rsidR="004B2C2B" w:rsidRPr="00852A48">
        <w:rPr>
          <w:sz w:val="22"/>
          <w:szCs w:val="22"/>
        </w:rPr>
        <w:t xml:space="preserve"> into a one-stop partner program</w:t>
      </w:r>
      <w:r w:rsidRPr="00852A48">
        <w:rPr>
          <w:sz w:val="22"/>
          <w:szCs w:val="22"/>
        </w:rPr>
        <w:t xml:space="preserve">. These services are accessible to anyone at any American Job Center or Career Center throughout Greater Nebraska. </w:t>
      </w:r>
    </w:p>
    <w:p w:rsidR="0072264E" w:rsidRPr="00852A48" w:rsidRDefault="0072264E" w:rsidP="00895F9C">
      <w:pPr>
        <w:pStyle w:val="Default"/>
        <w:rPr>
          <w:sz w:val="22"/>
          <w:szCs w:val="22"/>
        </w:rPr>
      </w:pPr>
    </w:p>
    <w:p w:rsidR="0072264E" w:rsidRPr="00852A48" w:rsidRDefault="0072264E" w:rsidP="00895F9C">
      <w:pPr>
        <w:pStyle w:val="Default"/>
        <w:rPr>
          <w:sz w:val="22"/>
          <w:szCs w:val="22"/>
        </w:rPr>
      </w:pPr>
      <w:r w:rsidRPr="00852A48">
        <w:rPr>
          <w:sz w:val="22"/>
          <w:szCs w:val="22"/>
        </w:rPr>
        <w:t>Basic Career Services include:</w:t>
      </w:r>
    </w:p>
    <w:p w:rsidR="009B11BA" w:rsidRPr="00852A48" w:rsidRDefault="009B11BA" w:rsidP="00895F9C">
      <w:pPr>
        <w:pStyle w:val="Default"/>
        <w:rPr>
          <w:sz w:val="22"/>
          <w:szCs w:val="22"/>
        </w:rPr>
      </w:pPr>
    </w:p>
    <w:p w:rsidR="0072264E" w:rsidRPr="00852A48" w:rsidRDefault="0072264E" w:rsidP="0072264E">
      <w:pPr>
        <w:pStyle w:val="Default"/>
        <w:numPr>
          <w:ilvl w:val="0"/>
          <w:numId w:val="16"/>
        </w:numPr>
        <w:rPr>
          <w:sz w:val="22"/>
          <w:szCs w:val="22"/>
        </w:rPr>
      </w:pPr>
      <w:r w:rsidRPr="00852A48">
        <w:rPr>
          <w:sz w:val="22"/>
          <w:szCs w:val="22"/>
        </w:rPr>
        <w:t>Determination of whether an individual is eligible to receive services under the WIOA Adult, DLW, or Youth programs.</w:t>
      </w:r>
    </w:p>
    <w:p w:rsidR="0072264E" w:rsidRPr="00852A48" w:rsidRDefault="0072264E" w:rsidP="0072264E">
      <w:pPr>
        <w:pStyle w:val="Default"/>
        <w:numPr>
          <w:ilvl w:val="0"/>
          <w:numId w:val="16"/>
        </w:numPr>
        <w:rPr>
          <w:sz w:val="22"/>
          <w:szCs w:val="22"/>
        </w:rPr>
      </w:pPr>
      <w:r w:rsidRPr="00852A48">
        <w:rPr>
          <w:sz w:val="22"/>
          <w:szCs w:val="22"/>
        </w:rPr>
        <w:t xml:space="preserve">Outreach, intake (including worker profiling), and orientation </w:t>
      </w:r>
      <w:r w:rsidR="00865701">
        <w:rPr>
          <w:sz w:val="22"/>
          <w:szCs w:val="22"/>
        </w:rPr>
        <w:t>providing</w:t>
      </w:r>
      <w:r w:rsidRPr="00852A48">
        <w:rPr>
          <w:sz w:val="22"/>
          <w:szCs w:val="22"/>
        </w:rPr>
        <w:t xml:space="preserve"> information and other services available through the one-stop delivery system, including an opportunity to initiate an application for Temporary Assistance for Needy Families (TANF) assistance and non-assistance benefits and services, which could be implemented through the provision of paper application forms or links to the application website. </w:t>
      </w:r>
    </w:p>
    <w:p w:rsidR="00D75712" w:rsidRDefault="0072264E" w:rsidP="007032B0">
      <w:pPr>
        <w:pStyle w:val="Default"/>
        <w:numPr>
          <w:ilvl w:val="0"/>
          <w:numId w:val="16"/>
        </w:numPr>
        <w:rPr>
          <w:sz w:val="22"/>
          <w:szCs w:val="22"/>
        </w:rPr>
      </w:pPr>
      <w:r w:rsidRPr="00D75712">
        <w:rPr>
          <w:sz w:val="22"/>
          <w:szCs w:val="22"/>
        </w:rPr>
        <w:t xml:space="preserve">Initial assessment of skill levels including literacy, numeracy, and English language proficiency, as well as aptitudes, abilities (including skills gaps), and supportive service needs. </w:t>
      </w:r>
    </w:p>
    <w:p w:rsidR="0072264E" w:rsidRPr="00D75712" w:rsidRDefault="0072264E" w:rsidP="007032B0">
      <w:pPr>
        <w:pStyle w:val="Default"/>
        <w:numPr>
          <w:ilvl w:val="0"/>
          <w:numId w:val="16"/>
        </w:numPr>
        <w:rPr>
          <w:sz w:val="22"/>
          <w:szCs w:val="22"/>
        </w:rPr>
      </w:pPr>
      <w:r w:rsidRPr="00D75712">
        <w:rPr>
          <w:sz w:val="22"/>
          <w:szCs w:val="22"/>
        </w:rPr>
        <w:t xml:space="preserve">Labor exchange services, including job search and placement assistance and career counseling when needed by an individual, including provision of information on in-demand industry sectors and occupations and nontraditional employment. </w:t>
      </w:r>
    </w:p>
    <w:p w:rsidR="0072264E" w:rsidRPr="00852A48" w:rsidRDefault="0072264E" w:rsidP="0072264E">
      <w:pPr>
        <w:pStyle w:val="Default"/>
        <w:numPr>
          <w:ilvl w:val="0"/>
          <w:numId w:val="16"/>
        </w:numPr>
        <w:rPr>
          <w:sz w:val="22"/>
          <w:szCs w:val="22"/>
        </w:rPr>
      </w:pPr>
      <w:r w:rsidRPr="00852A48">
        <w:rPr>
          <w:sz w:val="22"/>
          <w:szCs w:val="22"/>
        </w:rPr>
        <w:t xml:space="preserve">Provision of referrals to and coordination of activities with other programs and services, including programs and services within the one-stop delivery system and other workforce development programs when appropriate. </w:t>
      </w:r>
    </w:p>
    <w:p w:rsidR="0072264E" w:rsidRPr="00852A48" w:rsidRDefault="0072264E" w:rsidP="0072264E">
      <w:pPr>
        <w:pStyle w:val="Default"/>
        <w:numPr>
          <w:ilvl w:val="0"/>
          <w:numId w:val="16"/>
        </w:numPr>
        <w:rPr>
          <w:sz w:val="22"/>
          <w:szCs w:val="22"/>
        </w:rPr>
      </w:pPr>
      <w:r w:rsidRPr="00852A48">
        <w:rPr>
          <w:sz w:val="22"/>
          <w:szCs w:val="22"/>
        </w:rPr>
        <w:lastRenderedPageBreak/>
        <w:t xml:space="preserve">Provision of workforce and labor market employment statistics information, including provision </w:t>
      </w:r>
      <w:r w:rsidR="00200A1F">
        <w:rPr>
          <w:sz w:val="22"/>
          <w:szCs w:val="22"/>
        </w:rPr>
        <w:t>of accurate information relating</w:t>
      </w:r>
      <w:r w:rsidRPr="00852A48">
        <w:rPr>
          <w:sz w:val="22"/>
          <w:szCs w:val="22"/>
        </w:rPr>
        <w:t xml:space="preserve"> to local, regional, and national labor markets, such as:</w:t>
      </w:r>
    </w:p>
    <w:p w:rsidR="0072264E" w:rsidRPr="00852A48" w:rsidRDefault="0072264E" w:rsidP="0072264E">
      <w:pPr>
        <w:pStyle w:val="Default"/>
        <w:numPr>
          <w:ilvl w:val="1"/>
          <w:numId w:val="16"/>
        </w:numPr>
        <w:rPr>
          <w:sz w:val="22"/>
          <w:szCs w:val="22"/>
        </w:rPr>
      </w:pPr>
      <w:r w:rsidRPr="00852A48">
        <w:rPr>
          <w:sz w:val="22"/>
          <w:szCs w:val="22"/>
        </w:rPr>
        <w:t>Job vacancy listings in labor market areas</w:t>
      </w:r>
      <w:r w:rsidR="004B2C2B" w:rsidRPr="00852A48">
        <w:rPr>
          <w:sz w:val="22"/>
          <w:szCs w:val="22"/>
        </w:rPr>
        <w:t>;</w:t>
      </w:r>
    </w:p>
    <w:p w:rsidR="004B2C2B" w:rsidRPr="00852A48" w:rsidRDefault="004B2C2B" w:rsidP="0072264E">
      <w:pPr>
        <w:pStyle w:val="Default"/>
        <w:numPr>
          <w:ilvl w:val="1"/>
          <w:numId w:val="16"/>
        </w:numPr>
        <w:rPr>
          <w:sz w:val="22"/>
          <w:szCs w:val="22"/>
        </w:rPr>
      </w:pPr>
      <w:r w:rsidRPr="00852A48">
        <w:rPr>
          <w:sz w:val="22"/>
          <w:szCs w:val="22"/>
        </w:rPr>
        <w:t>Information on job skills necessary to obtain the vacant jobs listed; and</w:t>
      </w:r>
    </w:p>
    <w:p w:rsidR="004B2C2B" w:rsidRPr="00852A48" w:rsidRDefault="004B2C2B" w:rsidP="0072264E">
      <w:pPr>
        <w:pStyle w:val="Default"/>
        <w:numPr>
          <w:ilvl w:val="1"/>
          <w:numId w:val="16"/>
        </w:numPr>
        <w:rPr>
          <w:sz w:val="22"/>
          <w:szCs w:val="22"/>
        </w:rPr>
      </w:pPr>
      <w:r w:rsidRPr="00852A48">
        <w:rPr>
          <w:sz w:val="22"/>
          <w:szCs w:val="22"/>
        </w:rPr>
        <w:t xml:space="preserve">Information relating to local in-demand occupations and the earnings, skill requirements, and opportunities for advancement for those jobs. </w:t>
      </w:r>
    </w:p>
    <w:p w:rsidR="004B2C2B" w:rsidRPr="00852A48" w:rsidRDefault="004B2C2B" w:rsidP="004B2C2B">
      <w:pPr>
        <w:pStyle w:val="Default"/>
        <w:numPr>
          <w:ilvl w:val="0"/>
          <w:numId w:val="16"/>
        </w:numPr>
        <w:rPr>
          <w:sz w:val="22"/>
          <w:szCs w:val="22"/>
        </w:rPr>
      </w:pPr>
      <w:r w:rsidRPr="00852A48">
        <w:rPr>
          <w:sz w:val="22"/>
          <w:szCs w:val="22"/>
        </w:rPr>
        <w:t>Provision of performance information and program cost information on eligible providers of education, training, and workforce services, delineated by program and type of providers.</w:t>
      </w:r>
    </w:p>
    <w:p w:rsidR="004B2C2B" w:rsidRPr="00852A48" w:rsidRDefault="004B2C2B" w:rsidP="004B2C2B">
      <w:pPr>
        <w:pStyle w:val="Default"/>
        <w:numPr>
          <w:ilvl w:val="0"/>
          <w:numId w:val="16"/>
        </w:numPr>
        <w:rPr>
          <w:sz w:val="22"/>
          <w:szCs w:val="22"/>
        </w:rPr>
      </w:pPr>
      <w:r w:rsidRPr="00852A48">
        <w:rPr>
          <w:sz w:val="22"/>
          <w:szCs w:val="22"/>
        </w:rPr>
        <w:t xml:space="preserve">Provision of information, in usable and understandable formats and languages, on how the local area is performing on local performance accountability measures, as well as any additional performance information relating to the area’s one-stop delivery system. </w:t>
      </w:r>
    </w:p>
    <w:p w:rsidR="004B2C2B" w:rsidRPr="00852A48" w:rsidRDefault="004B2C2B" w:rsidP="004B2C2B">
      <w:pPr>
        <w:pStyle w:val="Default"/>
        <w:numPr>
          <w:ilvl w:val="0"/>
          <w:numId w:val="16"/>
        </w:numPr>
        <w:rPr>
          <w:sz w:val="22"/>
          <w:szCs w:val="22"/>
        </w:rPr>
      </w:pPr>
      <w:r w:rsidRPr="00852A48">
        <w:rPr>
          <w:sz w:val="22"/>
          <w:szCs w:val="22"/>
        </w:rPr>
        <w:t>Provision of information, in usable and understandable formats and languages, relating to the availability of supportive services or assistance and appropriate referrals to those services and assistance, including: child care, child support, medical or child health assistance available through the state’s Medicaid program and Children’s Health Insurance Program, benefits under Supplemental Nutrition Assistance Program (SNAP), assistance through the earned income tax credit, and assistance under a state program for TANF and other supportive services and transportation provided through that program.</w:t>
      </w:r>
    </w:p>
    <w:p w:rsidR="004B2C2B" w:rsidRPr="00852A48" w:rsidRDefault="004B2C2B" w:rsidP="004B2C2B">
      <w:pPr>
        <w:pStyle w:val="Default"/>
        <w:numPr>
          <w:ilvl w:val="0"/>
          <w:numId w:val="16"/>
        </w:numPr>
        <w:rPr>
          <w:sz w:val="22"/>
          <w:szCs w:val="22"/>
        </w:rPr>
      </w:pPr>
      <w:r w:rsidRPr="00852A48">
        <w:rPr>
          <w:sz w:val="22"/>
          <w:szCs w:val="22"/>
        </w:rPr>
        <w:t xml:space="preserve">Provision of information and meaningful assistance to individuals seeking assistance in filing a claim for unemployment compensation. </w:t>
      </w:r>
    </w:p>
    <w:p w:rsidR="004B2C2B" w:rsidRPr="00852A48" w:rsidRDefault="004B2C2B" w:rsidP="004B2C2B">
      <w:pPr>
        <w:pStyle w:val="Default"/>
        <w:numPr>
          <w:ilvl w:val="0"/>
          <w:numId w:val="16"/>
        </w:numPr>
        <w:rPr>
          <w:sz w:val="22"/>
          <w:szCs w:val="22"/>
        </w:rPr>
      </w:pPr>
      <w:r w:rsidRPr="00852A48">
        <w:rPr>
          <w:sz w:val="22"/>
          <w:szCs w:val="22"/>
        </w:rPr>
        <w:t>Assistance in establishing eligibility for programs of financial aid assistance for training and education programs not provided under WIOA.</w:t>
      </w:r>
    </w:p>
    <w:p w:rsidR="00843F9D" w:rsidRPr="00852A48" w:rsidRDefault="00843F9D" w:rsidP="00895F9C">
      <w:pPr>
        <w:pStyle w:val="Default"/>
        <w:rPr>
          <w:sz w:val="22"/>
          <w:szCs w:val="22"/>
        </w:rPr>
      </w:pPr>
    </w:p>
    <w:tbl>
      <w:tblPr>
        <w:tblW w:w="10224" w:type="dxa"/>
        <w:tblInd w:w="-108" w:type="dxa"/>
        <w:tblBorders>
          <w:top w:val="nil"/>
          <w:left w:val="nil"/>
          <w:bottom w:val="nil"/>
          <w:right w:val="nil"/>
        </w:tblBorders>
        <w:tblLayout w:type="fixed"/>
        <w:tblLook w:val="0000" w:firstRow="0" w:lastRow="0" w:firstColumn="0" w:lastColumn="0" w:noHBand="0" w:noVBand="0"/>
      </w:tblPr>
      <w:tblGrid>
        <w:gridCol w:w="10224"/>
      </w:tblGrid>
      <w:tr w:rsidR="00895F9C" w:rsidRPr="00852A48" w:rsidTr="00895F9C">
        <w:trPr>
          <w:trHeight w:val="280"/>
        </w:trPr>
        <w:tc>
          <w:tcPr>
            <w:tcW w:w="10224" w:type="dxa"/>
          </w:tcPr>
          <w:p w:rsidR="004B2C2B" w:rsidRPr="00852A48" w:rsidRDefault="004B2C2B" w:rsidP="00852A48">
            <w:pPr>
              <w:pStyle w:val="Default"/>
              <w:rPr>
                <w:color w:val="00607F"/>
                <w:sz w:val="22"/>
                <w:szCs w:val="22"/>
              </w:rPr>
            </w:pPr>
            <w:r w:rsidRPr="00852A48">
              <w:rPr>
                <w:color w:val="00607F"/>
                <w:sz w:val="22"/>
                <w:szCs w:val="22"/>
              </w:rPr>
              <w:t>Individualized Career Services</w:t>
            </w:r>
          </w:p>
          <w:p w:rsidR="009B11BA" w:rsidRPr="00852A48" w:rsidRDefault="009B11BA" w:rsidP="00852A48">
            <w:pPr>
              <w:pStyle w:val="Default"/>
              <w:rPr>
                <w:color w:val="00607F"/>
                <w:sz w:val="22"/>
                <w:szCs w:val="22"/>
              </w:rPr>
            </w:pPr>
          </w:p>
          <w:p w:rsidR="00895F9C" w:rsidRPr="00852A48" w:rsidRDefault="004B2C2B" w:rsidP="00852A48">
            <w:pPr>
              <w:autoSpaceDE w:val="0"/>
              <w:autoSpaceDN w:val="0"/>
              <w:adjustRightInd w:val="0"/>
              <w:spacing w:after="0" w:line="240" w:lineRule="auto"/>
              <w:rPr>
                <w:rFonts w:ascii="Arial" w:hAnsi="Arial" w:cs="Arial"/>
              </w:rPr>
            </w:pPr>
            <w:r w:rsidRPr="00852A48">
              <w:rPr>
                <w:rFonts w:ascii="Arial" w:hAnsi="Arial" w:cs="Arial"/>
              </w:rPr>
              <w:t>Individualized care</w:t>
            </w:r>
            <w:r w:rsidR="00AD1790">
              <w:rPr>
                <w:rFonts w:ascii="Arial" w:hAnsi="Arial" w:cs="Arial"/>
              </w:rPr>
              <w:t xml:space="preserve">er services are not considered </w:t>
            </w:r>
            <w:r w:rsidRPr="00852A48">
              <w:rPr>
                <w:rFonts w:ascii="Arial" w:hAnsi="Arial" w:cs="Arial"/>
              </w:rPr>
              <w:t>universal services</w:t>
            </w:r>
            <w:r w:rsidR="009B11BA" w:rsidRPr="00852A48">
              <w:rPr>
                <w:rFonts w:ascii="Arial" w:hAnsi="Arial" w:cs="Arial"/>
              </w:rPr>
              <w:t>, and individuals who receive them must be eligible under WIOA and enrolled in the WIOA program. These services are subject to Priorit</w:t>
            </w:r>
            <w:r w:rsidR="0038507F">
              <w:rPr>
                <w:rFonts w:ascii="Arial" w:hAnsi="Arial" w:cs="Arial"/>
              </w:rPr>
              <w:t>y of Service</w:t>
            </w:r>
            <w:r w:rsidR="009B11BA" w:rsidRPr="00852A48">
              <w:rPr>
                <w:rFonts w:ascii="Arial" w:hAnsi="Arial" w:cs="Arial"/>
              </w:rPr>
              <w:t xml:space="preserve"> provisions </w:t>
            </w:r>
            <w:r w:rsidR="003B1456" w:rsidRPr="00852A48">
              <w:rPr>
                <w:rFonts w:ascii="Arial" w:hAnsi="Arial" w:cs="Arial"/>
              </w:rPr>
              <w:t xml:space="preserve">for Adult participants </w:t>
            </w:r>
            <w:r w:rsidR="009B11BA" w:rsidRPr="00852A48">
              <w:rPr>
                <w:rFonts w:ascii="Arial" w:hAnsi="Arial" w:cs="Arial"/>
              </w:rPr>
              <w:t>as o</w:t>
            </w:r>
            <w:r w:rsidR="003B1456" w:rsidRPr="00852A48">
              <w:rPr>
                <w:rFonts w:ascii="Arial" w:hAnsi="Arial" w:cs="Arial"/>
              </w:rPr>
              <w:t>utlin</w:t>
            </w:r>
            <w:r w:rsidR="003B1456" w:rsidRPr="004B13F9">
              <w:rPr>
                <w:rFonts w:ascii="Arial" w:hAnsi="Arial" w:cs="Arial"/>
              </w:rPr>
              <w:t>ed</w:t>
            </w:r>
            <w:r w:rsidR="009B11BA" w:rsidRPr="004B13F9">
              <w:rPr>
                <w:rFonts w:ascii="Arial" w:hAnsi="Arial" w:cs="Arial"/>
              </w:rPr>
              <w:t xml:space="preserve"> in </w:t>
            </w:r>
            <w:r w:rsidR="004B13F9" w:rsidRPr="004B13F9">
              <w:rPr>
                <w:rFonts w:ascii="Arial" w:hAnsi="Arial" w:cs="Arial"/>
              </w:rPr>
              <w:t>the Greater Nebraska Priority Populations and Priority of Service policy</w:t>
            </w:r>
            <w:r w:rsidR="009B11BA" w:rsidRPr="004B13F9">
              <w:rPr>
                <w:rFonts w:ascii="Arial" w:hAnsi="Arial" w:cs="Arial"/>
              </w:rPr>
              <w:t>.</w:t>
            </w:r>
            <w:r w:rsidRPr="00852A48">
              <w:rPr>
                <w:rFonts w:ascii="Arial" w:hAnsi="Arial" w:cs="Arial"/>
              </w:rPr>
              <w:t xml:space="preserve"> </w:t>
            </w:r>
          </w:p>
          <w:p w:rsidR="00895F9C" w:rsidRPr="00852A48" w:rsidRDefault="00895F9C" w:rsidP="00852A48">
            <w:pPr>
              <w:autoSpaceDE w:val="0"/>
              <w:autoSpaceDN w:val="0"/>
              <w:adjustRightInd w:val="0"/>
              <w:spacing w:after="0" w:line="240" w:lineRule="auto"/>
              <w:rPr>
                <w:rFonts w:ascii="Arial" w:hAnsi="Arial" w:cs="Arial"/>
                <w:color w:val="000000"/>
              </w:rPr>
            </w:pPr>
          </w:p>
        </w:tc>
      </w:tr>
    </w:tbl>
    <w:p w:rsidR="003E1C01" w:rsidRPr="00852A48" w:rsidRDefault="00E421D9" w:rsidP="00852A48">
      <w:pPr>
        <w:spacing w:after="0" w:line="240" w:lineRule="auto"/>
        <w:rPr>
          <w:rFonts w:ascii="Arial" w:hAnsi="Arial" w:cs="Arial"/>
        </w:rPr>
      </w:pPr>
      <w:r w:rsidRPr="00852A48">
        <w:rPr>
          <w:rFonts w:ascii="Arial" w:hAnsi="Arial" w:cs="Arial"/>
        </w:rPr>
        <w:t>Individualized career services must be made availa</w:t>
      </w:r>
      <w:r w:rsidR="009B11BA" w:rsidRPr="00852A48">
        <w:rPr>
          <w:rFonts w:ascii="Arial" w:hAnsi="Arial" w:cs="Arial"/>
        </w:rPr>
        <w:t xml:space="preserve">ble to individuals enrolled in the </w:t>
      </w:r>
      <w:r w:rsidR="00176DC4">
        <w:rPr>
          <w:rFonts w:ascii="Arial" w:hAnsi="Arial" w:cs="Arial"/>
        </w:rPr>
        <w:t>A</w:t>
      </w:r>
      <w:r w:rsidRPr="00852A48">
        <w:rPr>
          <w:rFonts w:ascii="Arial" w:hAnsi="Arial" w:cs="Arial"/>
        </w:rPr>
        <w:t xml:space="preserve">dult and </w:t>
      </w:r>
      <w:r w:rsidR="009B11BA" w:rsidRPr="00852A48">
        <w:rPr>
          <w:rFonts w:ascii="Arial" w:hAnsi="Arial" w:cs="Arial"/>
        </w:rPr>
        <w:t>DLW</w:t>
      </w:r>
      <w:r w:rsidRPr="00852A48">
        <w:rPr>
          <w:rFonts w:ascii="Arial" w:hAnsi="Arial" w:cs="Arial"/>
        </w:rPr>
        <w:t xml:space="preserve"> programs</w:t>
      </w:r>
      <w:r w:rsidR="009B11BA" w:rsidRPr="00852A48">
        <w:rPr>
          <w:rFonts w:ascii="Arial" w:hAnsi="Arial" w:cs="Arial"/>
        </w:rPr>
        <w:t>,</w:t>
      </w:r>
      <w:r w:rsidRPr="00852A48">
        <w:rPr>
          <w:rFonts w:ascii="Arial" w:hAnsi="Arial" w:cs="Arial"/>
        </w:rPr>
        <w:t xml:space="preserve"> if determined appropriate in order for the individual to obtain or retain employment.</w:t>
      </w:r>
    </w:p>
    <w:p w:rsidR="003B1456" w:rsidRPr="00852A48" w:rsidRDefault="003B1456" w:rsidP="00852A48">
      <w:pPr>
        <w:spacing w:after="0" w:line="240" w:lineRule="auto"/>
        <w:rPr>
          <w:rFonts w:ascii="Arial" w:hAnsi="Arial" w:cs="Arial"/>
        </w:rPr>
      </w:pPr>
    </w:p>
    <w:p w:rsidR="00716D4E" w:rsidRPr="00852A48" w:rsidRDefault="003B1456" w:rsidP="00852A48">
      <w:pPr>
        <w:spacing w:after="0" w:line="240" w:lineRule="auto"/>
        <w:rPr>
          <w:rFonts w:ascii="Arial" w:hAnsi="Arial" w:cs="Arial"/>
        </w:rPr>
      </w:pPr>
      <w:r w:rsidRPr="00852A48">
        <w:rPr>
          <w:rFonts w:ascii="Arial" w:hAnsi="Arial" w:cs="Arial"/>
        </w:rPr>
        <w:t xml:space="preserve">Eligibility for individualized career services must be based on an initial assessment of skill levels including: </w:t>
      </w:r>
    </w:p>
    <w:p w:rsidR="00716D4E" w:rsidRPr="00852A48" w:rsidRDefault="00716D4E" w:rsidP="00852A48">
      <w:pPr>
        <w:spacing w:after="0" w:line="240" w:lineRule="auto"/>
        <w:rPr>
          <w:rFonts w:ascii="Arial" w:hAnsi="Arial" w:cs="Arial"/>
        </w:rPr>
      </w:pPr>
    </w:p>
    <w:p w:rsidR="003B1456" w:rsidRPr="00852A48" w:rsidRDefault="003B1456" w:rsidP="00852A48">
      <w:pPr>
        <w:pStyle w:val="ListParagraph"/>
        <w:numPr>
          <w:ilvl w:val="0"/>
          <w:numId w:val="24"/>
        </w:numPr>
        <w:spacing w:after="0" w:line="240" w:lineRule="auto"/>
        <w:rPr>
          <w:rFonts w:ascii="Arial" w:hAnsi="Arial" w:cs="Arial"/>
        </w:rPr>
      </w:pPr>
      <w:r w:rsidRPr="00852A48">
        <w:rPr>
          <w:rFonts w:ascii="Arial" w:hAnsi="Arial" w:cs="Arial"/>
        </w:rPr>
        <w:t>Literacy and numeracy;</w:t>
      </w:r>
    </w:p>
    <w:p w:rsidR="003B1456" w:rsidRPr="00852A48" w:rsidRDefault="003B1456" w:rsidP="00852A48">
      <w:pPr>
        <w:pStyle w:val="ListParagraph"/>
        <w:numPr>
          <w:ilvl w:val="0"/>
          <w:numId w:val="18"/>
        </w:numPr>
        <w:spacing w:after="0" w:line="240" w:lineRule="auto"/>
        <w:rPr>
          <w:rFonts w:ascii="Arial" w:hAnsi="Arial" w:cs="Arial"/>
        </w:rPr>
      </w:pPr>
      <w:r w:rsidRPr="00852A48">
        <w:rPr>
          <w:rFonts w:ascii="Arial" w:hAnsi="Arial" w:cs="Arial"/>
        </w:rPr>
        <w:t>English language proficiency;</w:t>
      </w:r>
    </w:p>
    <w:p w:rsidR="003B1456" w:rsidRPr="00852A48" w:rsidRDefault="003B1456" w:rsidP="00852A48">
      <w:pPr>
        <w:pStyle w:val="ListParagraph"/>
        <w:numPr>
          <w:ilvl w:val="0"/>
          <w:numId w:val="18"/>
        </w:numPr>
        <w:spacing w:after="0" w:line="240" w:lineRule="auto"/>
        <w:rPr>
          <w:rFonts w:ascii="Arial" w:hAnsi="Arial" w:cs="Arial"/>
        </w:rPr>
      </w:pPr>
      <w:r w:rsidRPr="00852A48">
        <w:rPr>
          <w:rFonts w:ascii="Arial" w:hAnsi="Arial" w:cs="Arial"/>
        </w:rPr>
        <w:t>Aptitudes and abilities, including skills gaps; and</w:t>
      </w:r>
    </w:p>
    <w:p w:rsidR="003B1456" w:rsidRPr="00852A48" w:rsidRDefault="003B1456" w:rsidP="00852A48">
      <w:pPr>
        <w:pStyle w:val="ListParagraph"/>
        <w:numPr>
          <w:ilvl w:val="0"/>
          <w:numId w:val="18"/>
        </w:numPr>
        <w:spacing w:after="0" w:line="240" w:lineRule="auto"/>
        <w:rPr>
          <w:rFonts w:ascii="Arial" w:hAnsi="Arial" w:cs="Arial"/>
        </w:rPr>
      </w:pPr>
      <w:r w:rsidRPr="00852A48">
        <w:rPr>
          <w:rFonts w:ascii="Arial" w:hAnsi="Arial" w:cs="Arial"/>
        </w:rPr>
        <w:t xml:space="preserve">Supportive service needs. </w:t>
      </w:r>
    </w:p>
    <w:p w:rsidR="003B1456" w:rsidRPr="00852A48" w:rsidRDefault="003B1456" w:rsidP="00852A48">
      <w:pPr>
        <w:spacing w:after="0" w:line="240" w:lineRule="auto"/>
        <w:rPr>
          <w:rFonts w:ascii="Arial" w:hAnsi="Arial" w:cs="Arial"/>
        </w:rPr>
      </w:pPr>
    </w:p>
    <w:p w:rsidR="003B1456" w:rsidRPr="00852A48" w:rsidRDefault="00716D4E" w:rsidP="00852A48">
      <w:pPr>
        <w:pStyle w:val="Default"/>
        <w:rPr>
          <w:sz w:val="22"/>
          <w:szCs w:val="22"/>
        </w:rPr>
      </w:pPr>
      <w:r w:rsidRPr="00852A48">
        <w:rPr>
          <w:sz w:val="22"/>
          <w:szCs w:val="22"/>
        </w:rPr>
        <w:t>Greater Nebraska utilizes the Objective Assessment Summary (OAS) in the participant’s NEworks file to assess the above skills/ needs for each participant. Additional assessments career planners may provide include, but are not limited to the NEworks Assessments and CASAS.</w:t>
      </w:r>
    </w:p>
    <w:p w:rsidR="00E421D9" w:rsidRPr="00852A48" w:rsidRDefault="00E421D9" w:rsidP="00E421D9">
      <w:pPr>
        <w:spacing w:after="0" w:line="240" w:lineRule="auto"/>
        <w:jc w:val="both"/>
        <w:rPr>
          <w:rFonts w:ascii="Arial" w:hAnsi="Arial" w:cs="Arial"/>
        </w:rPr>
      </w:pPr>
    </w:p>
    <w:p w:rsidR="00E421D9" w:rsidRPr="00852A48" w:rsidRDefault="00E421D9" w:rsidP="003B1456">
      <w:pPr>
        <w:spacing w:after="0" w:line="240" w:lineRule="auto"/>
        <w:rPr>
          <w:rFonts w:ascii="Arial" w:hAnsi="Arial" w:cs="Arial"/>
        </w:rPr>
      </w:pPr>
      <w:r w:rsidRPr="00852A48">
        <w:rPr>
          <w:rFonts w:ascii="Arial" w:hAnsi="Arial" w:cs="Arial"/>
        </w:rPr>
        <w:t>Ind</w:t>
      </w:r>
      <w:r w:rsidR="009B11BA" w:rsidRPr="00852A48">
        <w:rPr>
          <w:rFonts w:ascii="Arial" w:hAnsi="Arial" w:cs="Arial"/>
        </w:rPr>
        <w:t>ividualized Career Services include:</w:t>
      </w:r>
    </w:p>
    <w:p w:rsidR="009B11BA" w:rsidRPr="00852A48" w:rsidRDefault="009B11BA" w:rsidP="003B1456">
      <w:pPr>
        <w:spacing w:after="0" w:line="240" w:lineRule="auto"/>
        <w:rPr>
          <w:rFonts w:ascii="Arial" w:hAnsi="Arial" w:cs="Arial"/>
        </w:rPr>
      </w:pPr>
    </w:p>
    <w:p w:rsidR="009B11BA" w:rsidRPr="00852A48" w:rsidRDefault="00E421D9" w:rsidP="003B1456">
      <w:pPr>
        <w:pStyle w:val="ListParagraph"/>
        <w:numPr>
          <w:ilvl w:val="0"/>
          <w:numId w:val="17"/>
        </w:numPr>
        <w:spacing w:after="0" w:line="240" w:lineRule="auto"/>
        <w:rPr>
          <w:rFonts w:ascii="Arial" w:hAnsi="Arial" w:cs="Arial"/>
        </w:rPr>
      </w:pPr>
      <w:r w:rsidRPr="00852A48">
        <w:rPr>
          <w:rFonts w:ascii="Arial" w:hAnsi="Arial" w:cs="Arial"/>
        </w:rPr>
        <w:t>Comprehensive and specialized assessments of the skill levels and service needs of adults and dislocated workers, which may include:</w:t>
      </w:r>
    </w:p>
    <w:p w:rsidR="009B11BA" w:rsidRPr="00852A48" w:rsidRDefault="00E421D9" w:rsidP="003B1456">
      <w:pPr>
        <w:pStyle w:val="ListParagraph"/>
        <w:numPr>
          <w:ilvl w:val="1"/>
          <w:numId w:val="17"/>
        </w:numPr>
        <w:spacing w:after="0" w:line="240" w:lineRule="auto"/>
        <w:rPr>
          <w:rFonts w:ascii="Arial" w:hAnsi="Arial" w:cs="Arial"/>
        </w:rPr>
      </w:pPr>
      <w:r w:rsidRPr="00852A48">
        <w:rPr>
          <w:rFonts w:ascii="Arial" w:hAnsi="Arial" w:cs="Arial"/>
        </w:rPr>
        <w:t>diagnostic testing and use of other assessment tools; and</w:t>
      </w:r>
    </w:p>
    <w:p w:rsidR="009B11BA" w:rsidRPr="00852A48" w:rsidRDefault="00E421D9" w:rsidP="003B1456">
      <w:pPr>
        <w:pStyle w:val="ListParagraph"/>
        <w:numPr>
          <w:ilvl w:val="1"/>
          <w:numId w:val="17"/>
        </w:numPr>
        <w:spacing w:after="0" w:line="240" w:lineRule="auto"/>
        <w:rPr>
          <w:rFonts w:ascii="Arial" w:hAnsi="Arial" w:cs="Arial"/>
        </w:rPr>
      </w:pPr>
      <w:r w:rsidRPr="00852A48">
        <w:rPr>
          <w:rFonts w:ascii="Arial" w:hAnsi="Arial" w:cs="Arial"/>
        </w:rPr>
        <w:t>in-depth interviewing and evaluation to identify employment barriers and appropriate employment goals</w:t>
      </w:r>
      <w:r w:rsidR="003B1456" w:rsidRPr="00852A48">
        <w:rPr>
          <w:rFonts w:ascii="Arial" w:hAnsi="Arial" w:cs="Arial"/>
        </w:rPr>
        <w:t>.</w:t>
      </w:r>
    </w:p>
    <w:p w:rsidR="009B11BA" w:rsidRPr="00852A48" w:rsidRDefault="00E421D9" w:rsidP="003B1456">
      <w:pPr>
        <w:pStyle w:val="ListParagraph"/>
        <w:numPr>
          <w:ilvl w:val="0"/>
          <w:numId w:val="17"/>
        </w:numPr>
        <w:spacing w:after="0" w:line="240" w:lineRule="auto"/>
        <w:rPr>
          <w:rFonts w:ascii="Arial" w:hAnsi="Arial" w:cs="Arial"/>
        </w:rPr>
      </w:pPr>
      <w:r w:rsidRPr="00852A48">
        <w:rPr>
          <w:rFonts w:ascii="Arial" w:hAnsi="Arial" w:cs="Arial"/>
        </w:rPr>
        <w:t>Development of an individual employment plan (IEP) that identifies the employment goals, appropriate achievement objectives, and appropriate combination of services for the participant to achieve his or her employment goals, i</w:t>
      </w:r>
      <w:r w:rsidR="009B11BA" w:rsidRPr="00852A48">
        <w:rPr>
          <w:rFonts w:ascii="Arial" w:hAnsi="Arial" w:cs="Arial"/>
        </w:rPr>
        <w:t>ncluding the provision of information on eligible providers.</w:t>
      </w:r>
    </w:p>
    <w:p w:rsidR="003B1456" w:rsidRPr="00852A48" w:rsidRDefault="003B1456" w:rsidP="003B1456">
      <w:pPr>
        <w:pStyle w:val="ListParagraph"/>
        <w:numPr>
          <w:ilvl w:val="0"/>
          <w:numId w:val="17"/>
        </w:numPr>
        <w:spacing w:after="0" w:line="240" w:lineRule="auto"/>
        <w:rPr>
          <w:rFonts w:ascii="Arial" w:hAnsi="Arial" w:cs="Arial"/>
        </w:rPr>
      </w:pPr>
      <w:r w:rsidRPr="00852A48">
        <w:rPr>
          <w:rFonts w:ascii="Arial" w:hAnsi="Arial" w:cs="Arial"/>
        </w:rPr>
        <w:t>Group or i</w:t>
      </w:r>
      <w:r w:rsidR="00E421D9" w:rsidRPr="00852A48">
        <w:rPr>
          <w:rFonts w:ascii="Arial" w:hAnsi="Arial" w:cs="Arial"/>
        </w:rPr>
        <w:t>ndividual counseling</w:t>
      </w:r>
      <w:r w:rsidRPr="00852A48">
        <w:rPr>
          <w:rFonts w:ascii="Arial" w:hAnsi="Arial" w:cs="Arial"/>
        </w:rPr>
        <w:t>.</w:t>
      </w:r>
    </w:p>
    <w:p w:rsidR="003B1456" w:rsidRPr="00852A48" w:rsidRDefault="00E421D9" w:rsidP="003B1456">
      <w:pPr>
        <w:pStyle w:val="ListParagraph"/>
        <w:numPr>
          <w:ilvl w:val="0"/>
          <w:numId w:val="17"/>
        </w:numPr>
        <w:spacing w:after="0" w:line="240" w:lineRule="auto"/>
        <w:rPr>
          <w:rFonts w:ascii="Arial" w:hAnsi="Arial" w:cs="Arial"/>
        </w:rPr>
      </w:pPr>
      <w:r w:rsidRPr="00852A48">
        <w:rPr>
          <w:rFonts w:ascii="Arial" w:hAnsi="Arial" w:cs="Arial"/>
        </w:rPr>
        <w:t>Career planning</w:t>
      </w:r>
      <w:r w:rsidR="003B1456" w:rsidRPr="00852A48">
        <w:rPr>
          <w:rFonts w:ascii="Arial" w:hAnsi="Arial" w:cs="Arial"/>
        </w:rPr>
        <w:t>.</w:t>
      </w:r>
    </w:p>
    <w:p w:rsidR="003B1456" w:rsidRPr="00852A48" w:rsidRDefault="00E421D9" w:rsidP="003B1456">
      <w:pPr>
        <w:pStyle w:val="ListParagraph"/>
        <w:numPr>
          <w:ilvl w:val="0"/>
          <w:numId w:val="17"/>
        </w:numPr>
        <w:spacing w:after="0" w:line="240" w:lineRule="auto"/>
        <w:rPr>
          <w:rFonts w:ascii="Arial" w:hAnsi="Arial" w:cs="Arial"/>
        </w:rPr>
      </w:pPr>
      <w:r w:rsidRPr="00852A48">
        <w:rPr>
          <w:rFonts w:ascii="Arial" w:hAnsi="Arial" w:cs="Arial"/>
        </w:rPr>
        <w:t>Short-term pre-vocational services including development of learning skills, communication skills, interviewing skills, punctuality, personal maintenance skills, and professional conduct services to prepare individuals for unsubsidized employment or training</w:t>
      </w:r>
      <w:r w:rsidR="003B1456" w:rsidRPr="00852A48">
        <w:rPr>
          <w:rFonts w:ascii="Arial" w:hAnsi="Arial" w:cs="Arial"/>
        </w:rPr>
        <w:t>.</w:t>
      </w:r>
    </w:p>
    <w:p w:rsidR="003B1456" w:rsidRPr="00852A48" w:rsidRDefault="00E421D9" w:rsidP="003B1456">
      <w:pPr>
        <w:pStyle w:val="ListParagraph"/>
        <w:numPr>
          <w:ilvl w:val="0"/>
          <w:numId w:val="17"/>
        </w:numPr>
        <w:spacing w:after="0" w:line="240" w:lineRule="auto"/>
        <w:rPr>
          <w:rFonts w:ascii="Arial" w:hAnsi="Arial" w:cs="Arial"/>
        </w:rPr>
      </w:pPr>
      <w:r w:rsidRPr="00852A48">
        <w:rPr>
          <w:rFonts w:ascii="Arial" w:hAnsi="Arial" w:cs="Arial"/>
        </w:rPr>
        <w:t>Internships and work experiences that are linked to careers, including transitional jobs</w:t>
      </w:r>
      <w:r w:rsidR="003B1456" w:rsidRPr="00852A48">
        <w:rPr>
          <w:rFonts w:ascii="Arial" w:hAnsi="Arial" w:cs="Arial"/>
        </w:rPr>
        <w:t>.</w:t>
      </w:r>
    </w:p>
    <w:p w:rsidR="00E421D9" w:rsidRPr="00852A48" w:rsidRDefault="00E421D9" w:rsidP="003B1456">
      <w:pPr>
        <w:pStyle w:val="ListParagraph"/>
        <w:numPr>
          <w:ilvl w:val="0"/>
          <w:numId w:val="17"/>
        </w:numPr>
        <w:spacing w:after="0" w:line="240" w:lineRule="auto"/>
        <w:rPr>
          <w:rFonts w:ascii="Arial" w:hAnsi="Arial" w:cs="Arial"/>
        </w:rPr>
      </w:pPr>
      <w:r w:rsidRPr="00852A48">
        <w:rPr>
          <w:rFonts w:ascii="Arial" w:hAnsi="Arial" w:cs="Arial"/>
        </w:rPr>
        <w:t>Workforce preparation activities</w:t>
      </w:r>
      <w:r w:rsidR="003B1456" w:rsidRPr="00852A48">
        <w:rPr>
          <w:rFonts w:ascii="Arial" w:hAnsi="Arial" w:cs="Arial"/>
        </w:rPr>
        <w:t>.</w:t>
      </w:r>
    </w:p>
    <w:p w:rsidR="003B1456" w:rsidRPr="00852A48" w:rsidRDefault="003B1456" w:rsidP="003B1456">
      <w:pPr>
        <w:pStyle w:val="ListParagraph"/>
        <w:numPr>
          <w:ilvl w:val="0"/>
          <w:numId w:val="17"/>
        </w:numPr>
        <w:spacing w:after="0" w:line="240" w:lineRule="auto"/>
        <w:rPr>
          <w:rFonts w:ascii="Arial" w:hAnsi="Arial" w:cs="Arial"/>
        </w:rPr>
      </w:pPr>
      <w:r w:rsidRPr="00852A48">
        <w:rPr>
          <w:rFonts w:ascii="Arial" w:hAnsi="Arial" w:cs="Arial"/>
        </w:rPr>
        <w:t>Financial literacy services.</w:t>
      </w:r>
    </w:p>
    <w:p w:rsidR="003B1456" w:rsidRPr="00852A48" w:rsidRDefault="003B1456" w:rsidP="003B1456">
      <w:pPr>
        <w:pStyle w:val="ListParagraph"/>
        <w:numPr>
          <w:ilvl w:val="0"/>
          <w:numId w:val="17"/>
        </w:numPr>
        <w:spacing w:after="0" w:line="240" w:lineRule="auto"/>
        <w:rPr>
          <w:rFonts w:ascii="Arial" w:hAnsi="Arial" w:cs="Arial"/>
        </w:rPr>
      </w:pPr>
      <w:r w:rsidRPr="00852A48">
        <w:rPr>
          <w:rFonts w:ascii="Arial" w:hAnsi="Arial" w:cs="Arial"/>
        </w:rPr>
        <w:t>Out-of-area job search assistance and relocation assistance.</w:t>
      </w:r>
    </w:p>
    <w:p w:rsidR="003B1456" w:rsidRPr="00852A48" w:rsidRDefault="003B1456" w:rsidP="003B1456">
      <w:pPr>
        <w:pStyle w:val="ListParagraph"/>
        <w:numPr>
          <w:ilvl w:val="0"/>
          <w:numId w:val="17"/>
        </w:numPr>
        <w:spacing w:after="0" w:line="240" w:lineRule="auto"/>
        <w:rPr>
          <w:rFonts w:ascii="Arial" w:hAnsi="Arial" w:cs="Arial"/>
        </w:rPr>
      </w:pPr>
      <w:r w:rsidRPr="00852A48">
        <w:rPr>
          <w:rFonts w:ascii="Arial" w:hAnsi="Arial" w:cs="Arial"/>
        </w:rPr>
        <w:t>English language acquisition and integrated education and training programs.</w:t>
      </w:r>
    </w:p>
    <w:p w:rsidR="003B1456" w:rsidRPr="00852A48" w:rsidRDefault="003B1456" w:rsidP="003B1456">
      <w:pPr>
        <w:spacing w:after="0" w:line="240" w:lineRule="auto"/>
        <w:rPr>
          <w:rFonts w:ascii="Arial" w:hAnsi="Arial" w:cs="Arial"/>
        </w:rPr>
      </w:pPr>
    </w:p>
    <w:p w:rsidR="00375A3D" w:rsidRPr="00852A48" w:rsidRDefault="00375A3D" w:rsidP="00375A3D">
      <w:pPr>
        <w:spacing w:after="0" w:line="240" w:lineRule="auto"/>
        <w:rPr>
          <w:rFonts w:ascii="Arial" w:hAnsi="Arial" w:cs="Arial"/>
          <w:color w:val="00607F"/>
        </w:rPr>
      </w:pPr>
      <w:r w:rsidRPr="00852A48">
        <w:rPr>
          <w:rFonts w:ascii="Arial" w:hAnsi="Arial" w:cs="Arial"/>
          <w:color w:val="00607F"/>
        </w:rPr>
        <w:t>Follow Up Services</w:t>
      </w:r>
    </w:p>
    <w:p w:rsidR="003B1456" w:rsidRPr="00852A48" w:rsidRDefault="003B1456" w:rsidP="00375A3D">
      <w:pPr>
        <w:spacing w:after="0" w:line="240" w:lineRule="auto"/>
        <w:rPr>
          <w:rFonts w:ascii="Arial" w:hAnsi="Arial" w:cs="Arial"/>
        </w:rPr>
      </w:pPr>
    </w:p>
    <w:p w:rsidR="00375A3D" w:rsidRPr="00852A48" w:rsidRDefault="009F5575" w:rsidP="00375A3D">
      <w:pPr>
        <w:spacing w:after="0" w:line="240" w:lineRule="auto"/>
        <w:rPr>
          <w:rFonts w:ascii="Arial" w:hAnsi="Arial" w:cs="Arial"/>
        </w:rPr>
      </w:pPr>
      <w:r w:rsidRPr="00852A48">
        <w:rPr>
          <w:rFonts w:ascii="Arial" w:hAnsi="Arial" w:cs="Arial"/>
        </w:rPr>
        <w:t xml:space="preserve">Follow </w:t>
      </w:r>
      <w:r w:rsidR="00E421D9" w:rsidRPr="00852A48">
        <w:rPr>
          <w:rFonts w:ascii="Arial" w:hAnsi="Arial" w:cs="Arial"/>
        </w:rPr>
        <w:t xml:space="preserve">up services must be made available for adults and </w:t>
      </w:r>
      <w:r w:rsidRPr="00852A48">
        <w:rPr>
          <w:rFonts w:ascii="Arial" w:hAnsi="Arial" w:cs="Arial"/>
        </w:rPr>
        <w:t>DLW</w:t>
      </w:r>
      <w:r w:rsidR="00E421D9" w:rsidRPr="00852A48">
        <w:rPr>
          <w:rFonts w:ascii="Arial" w:hAnsi="Arial" w:cs="Arial"/>
        </w:rPr>
        <w:t xml:space="preserve"> who are placed in unsubsidized employment for a minimum of 12 months after</w:t>
      </w:r>
      <w:r w:rsidR="00375A3D" w:rsidRPr="00852A48">
        <w:rPr>
          <w:rFonts w:ascii="Arial" w:hAnsi="Arial" w:cs="Arial"/>
        </w:rPr>
        <w:t xml:space="preserve"> the first day of employment. </w:t>
      </w:r>
      <w:r w:rsidR="00E421D9" w:rsidRPr="00852A48">
        <w:rPr>
          <w:rFonts w:ascii="Arial" w:hAnsi="Arial" w:cs="Arial"/>
        </w:rPr>
        <w:t>All participants must be offered an opportunity to receive follow-up services unless the participant declines to receive follow-up services or the participant cannot be</w:t>
      </w:r>
      <w:r w:rsidR="00375A3D" w:rsidRPr="00852A48">
        <w:rPr>
          <w:rFonts w:ascii="Arial" w:hAnsi="Arial" w:cs="Arial"/>
        </w:rPr>
        <w:t xml:space="preserve"> located or contacted. The </w:t>
      </w:r>
      <w:r w:rsidR="00E421D9" w:rsidRPr="00852A48">
        <w:rPr>
          <w:rFonts w:ascii="Arial" w:hAnsi="Arial" w:cs="Arial"/>
        </w:rPr>
        <w:t>type and intensity o</w:t>
      </w:r>
      <w:r w:rsidR="00375A3D" w:rsidRPr="00852A48">
        <w:rPr>
          <w:rFonts w:ascii="Arial" w:hAnsi="Arial" w:cs="Arial"/>
        </w:rPr>
        <w:t xml:space="preserve">f follow-up services will vary </w:t>
      </w:r>
      <w:r w:rsidR="00E421D9" w:rsidRPr="00852A48">
        <w:rPr>
          <w:rFonts w:ascii="Arial" w:hAnsi="Arial" w:cs="Arial"/>
        </w:rPr>
        <w:t>for each participant</w:t>
      </w:r>
      <w:r w:rsidR="00375A3D" w:rsidRPr="00852A48">
        <w:rPr>
          <w:rFonts w:ascii="Arial" w:hAnsi="Arial" w:cs="Arial"/>
        </w:rPr>
        <w:t xml:space="preserve"> as they are based off individual need. </w:t>
      </w:r>
    </w:p>
    <w:p w:rsidR="009F5575" w:rsidRPr="00852A48" w:rsidRDefault="009F5575" w:rsidP="00375A3D">
      <w:pPr>
        <w:spacing w:after="0" w:line="240" w:lineRule="auto"/>
        <w:rPr>
          <w:rFonts w:ascii="Arial" w:hAnsi="Arial" w:cs="Arial"/>
        </w:rPr>
      </w:pPr>
    </w:p>
    <w:p w:rsidR="00E421D9" w:rsidRPr="00852A48" w:rsidRDefault="00E421D9" w:rsidP="00375A3D">
      <w:pPr>
        <w:spacing w:after="0" w:line="240" w:lineRule="auto"/>
        <w:rPr>
          <w:rFonts w:ascii="Arial" w:hAnsi="Arial" w:cs="Arial"/>
        </w:rPr>
      </w:pPr>
      <w:r w:rsidRPr="00852A48">
        <w:rPr>
          <w:rFonts w:ascii="Arial" w:hAnsi="Arial" w:cs="Arial"/>
        </w:rPr>
        <w:t>Follow-up services must be more than just an attempt to contact the participant and must not be just an attempt to secure documentation to support or report a performance outcome.</w:t>
      </w:r>
      <w:r w:rsidR="009F5575" w:rsidRPr="00852A48">
        <w:rPr>
          <w:rFonts w:ascii="Arial" w:hAnsi="Arial" w:cs="Arial"/>
        </w:rPr>
        <w:t xml:space="preserve"> Follow up services provide support and guidance to:</w:t>
      </w:r>
    </w:p>
    <w:p w:rsidR="009F5575" w:rsidRPr="00852A48" w:rsidRDefault="009F5575" w:rsidP="00375A3D">
      <w:pPr>
        <w:spacing w:after="0" w:line="240" w:lineRule="auto"/>
        <w:rPr>
          <w:rFonts w:ascii="Arial" w:hAnsi="Arial" w:cs="Arial"/>
        </w:rPr>
      </w:pPr>
    </w:p>
    <w:p w:rsidR="009F5575" w:rsidRPr="00852A48" w:rsidRDefault="009F5575" w:rsidP="009F5575">
      <w:pPr>
        <w:pStyle w:val="ListParagraph"/>
        <w:numPr>
          <w:ilvl w:val="0"/>
          <w:numId w:val="23"/>
        </w:numPr>
        <w:spacing w:after="0" w:line="240" w:lineRule="auto"/>
        <w:rPr>
          <w:rFonts w:ascii="Arial" w:hAnsi="Arial" w:cs="Arial"/>
        </w:rPr>
      </w:pPr>
      <w:r w:rsidRPr="00852A48">
        <w:rPr>
          <w:rFonts w:ascii="Arial" w:hAnsi="Arial" w:cs="Arial"/>
        </w:rPr>
        <w:t xml:space="preserve">Facilitate sustained employment. </w:t>
      </w:r>
    </w:p>
    <w:p w:rsidR="009F5575" w:rsidRPr="00852A48" w:rsidRDefault="009F5575" w:rsidP="009F5575">
      <w:pPr>
        <w:pStyle w:val="ListParagraph"/>
        <w:numPr>
          <w:ilvl w:val="0"/>
          <w:numId w:val="23"/>
        </w:numPr>
        <w:spacing w:after="0" w:line="240" w:lineRule="auto"/>
        <w:rPr>
          <w:rFonts w:ascii="Arial" w:hAnsi="Arial" w:cs="Arial"/>
        </w:rPr>
      </w:pPr>
      <w:r w:rsidRPr="00852A48">
        <w:rPr>
          <w:rFonts w:ascii="Arial" w:hAnsi="Arial" w:cs="Arial"/>
        </w:rPr>
        <w:t xml:space="preserve">Advancement along a career or educational ladder. </w:t>
      </w:r>
    </w:p>
    <w:p w:rsidR="009F5575" w:rsidRPr="00852A48" w:rsidRDefault="009F5575" w:rsidP="009F5575">
      <w:pPr>
        <w:pStyle w:val="ListParagraph"/>
        <w:numPr>
          <w:ilvl w:val="0"/>
          <w:numId w:val="23"/>
        </w:numPr>
        <w:spacing w:after="0" w:line="240" w:lineRule="auto"/>
        <w:rPr>
          <w:rFonts w:ascii="Arial" w:hAnsi="Arial" w:cs="Arial"/>
        </w:rPr>
      </w:pPr>
      <w:r w:rsidRPr="00852A48">
        <w:rPr>
          <w:rFonts w:ascii="Arial" w:hAnsi="Arial" w:cs="Arial"/>
        </w:rPr>
        <w:t>Personal development.</w:t>
      </w:r>
    </w:p>
    <w:p w:rsidR="00375A3D" w:rsidRPr="00852A48" w:rsidRDefault="00375A3D" w:rsidP="00375A3D">
      <w:pPr>
        <w:spacing w:after="0" w:line="240" w:lineRule="auto"/>
        <w:rPr>
          <w:rFonts w:ascii="Arial" w:hAnsi="Arial" w:cs="Arial"/>
        </w:rPr>
      </w:pPr>
    </w:p>
    <w:p w:rsidR="009F5575" w:rsidRPr="00852A48" w:rsidRDefault="009F5575" w:rsidP="00375A3D">
      <w:pPr>
        <w:spacing w:after="0" w:line="240" w:lineRule="auto"/>
        <w:rPr>
          <w:rFonts w:ascii="Arial" w:hAnsi="Arial" w:cs="Arial"/>
        </w:rPr>
      </w:pPr>
      <w:r w:rsidRPr="00852A48">
        <w:rPr>
          <w:rFonts w:ascii="Arial" w:hAnsi="Arial" w:cs="Arial"/>
        </w:rPr>
        <w:t xml:space="preserve">Follow up services include: </w:t>
      </w:r>
    </w:p>
    <w:p w:rsidR="009F5575" w:rsidRPr="00852A48" w:rsidRDefault="009F5575" w:rsidP="00375A3D">
      <w:pPr>
        <w:spacing w:after="0" w:line="240" w:lineRule="auto"/>
        <w:rPr>
          <w:rFonts w:ascii="Arial" w:hAnsi="Arial" w:cs="Arial"/>
        </w:rPr>
      </w:pPr>
    </w:p>
    <w:p w:rsidR="009F5575" w:rsidRPr="00852A48" w:rsidRDefault="009F5575" w:rsidP="009F5575">
      <w:pPr>
        <w:pStyle w:val="ListParagraph"/>
        <w:numPr>
          <w:ilvl w:val="0"/>
          <w:numId w:val="22"/>
        </w:numPr>
        <w:spacing w:after="0" w:line="240" w:lineRule="auto"/>
        <w:rPr>
          <w:rFonts w:ascii="Arial" w:hAnsi="Arial" w:cs="Arial"/>
        </w:rPr>
      </w:pPr>
      <w:r w:rsidRPr="00852A48">
        <w:rPr>
          <w:rFonts w:ascii="Arial" w:hAnsi="Arial" w:cs="Arial"/>
        </w:rPr>
        <w:t>Assistance addressing work related problems.</w:t>
      </w:r>
    </w:p>
    <w:p w:rsidR="009F5575" w:rsidRPr="00852A48" w:rsidRDefault="009F5575" w:rsidP="009F5575">
      <w:pPr>
        <w:pStyle w:val="ListParagraph"/>
        <w:numPr>
          <w:ilvl w:val="0"/>
          <w:numId w:val="22"/>
        </w:numPr>
        <w:spacing w:after="0" w:line="240" w:lineRule="auto"/>
        <w:rPr>
          <w:rFonts w:ascii="Arial" w:hAnsi="Arial" w:cs="Arial"/>
        </w:rPr>
      </w:pPr>
      <w:r w:rsidRPr="00852A48">
        <w:rPr>
          <w:rFonts w:ascii="Arial" w:hAnsi="Arial" w:cs="Arial"/>
        </w:rPr>
        <w:t xml:space="preserve">Referrals to partner programs/ agencies as needed. </w:t>
      </w:r>
    </w:p>
    <w:p w:rsidR="009F5575" w:rsidRPr="00852A48" w:rsidRDefault="009F5575" w:rsidP="009F5575">
      <w:pPr>
        <w:pStyle w:val="ListParagraph"/>
        <w:numPr>
          <w:ilvl w:val="0"/>
          <w:numId w:val="22"/>
        </w:numPr>
        <w:spacing w:after="0" w:line="240" w:lineRule="auto"/>
        <w:rPr>
          <w:rFonts w:ascii="Arial" w:hAnsi="Arial" w:cs="Arial"/>
        </w:rPr>
      </w:pPr>
      <w:r w:rsidRPr="00852A48">
        <w:rPr>
          <w:rFonts w:ascii="Arial" w:hAnsi="Arial" w:cs="Arial"/>
        </w:rPr>
        <w:t xml:space="preserve">Career counseling. </w:t>
      </w:r>
    </w:p>
    <w:p w:rsidR="009F5575" w:rsidRPr="00852A48" w:rsidRDefault="009F5575" w:rsidP="009F5575">
      <w:pPr>
        <w:pStyle w:val="ListParagraph"/>
        <w:numPr>
          <w:ilvl w:val="0"/>
          <w:numId w:val="22"/>
        </w:numPr>
        <w:spacing w:after="0" w:line="240" w:lineRule="auto"/>
        <w:rPr>
          <w:rFonts w:ascii="Arial" w:hAnsi="Arial" w:cs="Arial"/>
        </w:rPr>
      </w:pPr>
      <w:r w:rsidRPr="00852A48">
        <w:rPr>
          <w:rFonts w:ascii="Arial" w:hAnsi="Arial" w:cs="Arial"/>
        </w:rPr>
        <w:t>Information on additional education opportunities.</w:t>
      </w:r>
    </w:p>
    <w:p w:rsidR="009F5575" w:rsidRPr="00852A48" w:rsidRDefault="009F5575" w:rsidP="009F5575">
      <w:pPr>
        <w:spacing w:after="0" w:line="240" w:lineRule="auto"/>
        <w:rPr>
          <w:rFonts w:ascii="Arial" w:hAnsi="Arial" w:cs="Arial"/>
        </w:rPr>
      </w:pPr>
    </w:p>
    <w:p w:rsidR="009F5575" w:rsidRPr="00852A48" w:rsidRDefault="009F5575" w:rsidP="009F5575">
      <w:pPr>
        <w:spacing w:after="0" w:line="240" w:lineRule="auto"/>
        <w:rPr>
          <w:rFonts w:ascii="Arial" w:hAnsi="Arial" w:cs="Arial"/>
        </w:rPr>
      </w:pPr>
      <w:r w:rsidRPr="00852A48">
        <w:rPr>
          <w:rFonts w:ascii="Arial" w:hAnsi="Arial" w:cs="Arial"/>
        </w:rPr>
        <w:lastRenderedPageBreak/>
        <w:t>Adult and DLW participants cannot receive supportive services or any other funded activity during follow up.</w:t>
      </w:r>
    </w:p>
    <w:p w:rsidR="009F5575" w:rsidRPr="00852A48" w:rsidRDefault="009F5575" w:rsidP="009F5575">
      <w:pPr>
        <w:spacing w:after="0" w:line="240" w:lineRule="auto"/>
        <w:rPr>
          <w:rFonts w:ascii="Arial" w:hAnsi="Arial" w:cs="Arial"/>
        </w:rPr>
      </w:pPr>
    </w:p>
    <w:p w:rsidR="007E34DB" w:rsidRPr="00852A48" w:rsidRDefault="00895F9C" w:rsidP="007E34DB">
      <w:pPr>
        <w:spacing w:after="0" w:line="240" w:lineRule="auto"/>
        <w:jc w:val="both"/>
        <w:rPr>
          <w:rFonts w:ascii="Arial" w:hAnsi="Arial" w:cs="Arial"/>
          <w:b/>
          <w:color w:val="BB1F53"/>
        </w:rPr>
      </w:pPr>
      <w:r w:rsidRPr="00852A48">
        <w:rPr>
          <w:rFonts w:ascii="Arial" w:hAnsi="Arial" w:cs="Arial"/>
          <w:b/>
          <w:color w:val="BB1F53"/>
        </w:rPr>
        <w:t>Training Services</w:t>
      </w:r>
    </w:p>
    <w:p w:rsidR="00375A3D" w:rsidRPr="00852A48" w:rsidRDefault="00375A3D" w:rsidP="00375A3D">
      <w:pPr>
        <w:spacing w:after="0" w:line="240" w:lineRule="auto"/>
        <w:jc w:val="both"/>
        <w:rPr>
          <w:rFonts w:ascii="Arial" w:hAnsi="Arial" w:cs="Arial"/>
        </w:rPr>
      </w:pPr>
    </w:p>
    <w:p w:rsidR="00375A3D" w:rsidRPr="00852A48" w:rsidRDefault="00375A3D" w:rsidP="00375A3D">
      <w:pPr>
        <w:autoSpaceDE w:val="0"/>
        <w:autoSpaceDN w:val="0"/>
        <w:adjustRightInd w:val="0"/>
        <w:spacing w:after="0" w:line="240" w:lineRule="auto"/>
        <w:rPr>
          <w:rFonts w:ascii="Arial" w:hAnsi="Arial" w:cs="Arial"/>
        </w:rPr>
      </w:pPr>
      <w:r w:rsidRPr="00852A48">
        <w:rPr>
          <w:rFonts w:ascii="Arial" w:hAnsi="Arial" w:cs="Arial"/>
        </w:rPr>
        <w:t>Training</w:t>
      </w:r>
      <w:r w:rsidR="00AD1790">
        <w:rPr>
          <w:rFonts w:ascii="Arial" w:hAnsi="Arial" w:cs="Arial"/>
        </w:rPr>
        <w:t xml:space="preserve"> services are not considered </w:t>
      </w:r>
      <w:r w:rsidRPr="00852A48">
        <w:rPr>
          <w:rFonts w:ascii="Arial" w:hAnsi="Arial" w:cs="Arial"/>
        </w:rPr>
        <w:t>universal services,</w:t>
      </w:r>
      <w:r w:rsidR="00AD1790">
        <w:rPr>
          <w:rFonts w:ascii="Arial" w:hAnsi="Arial" w:cs="Arial"/>
        </w:rPr>
        <w:t xml:space="preserve"> </w:t>
      </w:r>
      <w:r w:rsidRPr="00852A48">
        <w:rPr>
          <w:rFonts w:ascii="Arial" w:hAnsi="Arial" w:cs="Arial"/>
        </w:rPr>
        <w:t>and individuals who receive them must be eligible under WIOA and enrolled in the WIOA program. These services are</w:t>
      </w:r>
      <w:r w:rsidR="0038507F">
        <w:rPr>
          <w:rFonts w:ascii="Arial" w:hAnsi="Arial" w:cs="Arial"/>
        </w:rPr>
        <w:t xml:space="preserve"> subject to Priority of Service</w:t>
      </w:r>
      <w:r w:rsidRPr="00852A48">
        <w:rPr>
          <w:rFonts w:ascii="Arial" w:hAnsi="Arial" w:cs="Arial"/>
        </w:rPr>
        <w:t xml:space="preserve"> provisions for Ad</w:t>
      </w:r>
      <w:r w:rsidR="0038507F">
        <w:rPr>
          <w:rFonts w:ascii="Arial" w:hAnsi="Arial" w:cs="Arial"/>
        </w:rPr>
        <w:t xml:space="preserve">ult participants as outlined in </w:t>
      </w:r>
      <w:r w:rsidR="0038507F" w:rsidRPr="004B13F9">
        <w:rPr>
          <w:rFonts w:ascii="Arial" w:hAnsi="Arial" w:cs="Arial"/>
        </w:rPr>
        <w:t>the Greater Nebraska Priority Populations and Priority of Service policy</w:t>
      </w:r>
      <w:r w:rsidR="0038507F">
        <w:rPr>
          <w:rFonts w:ascii="Arial" w:hAnsi="Arial" w:cs="Arial"/>
        </w:rPr>
        <w:t>.</w:t>
      </w:r>
      <w:r w:rsidR="007D4F4E" w:rsidRPr="00852A48">
        <w:rPr>
          <w:rFonts w:ascii="Arial" w:hAnsi="Arial" w:cs="Arial"/>
        </w:rPr>
        <w:t xml:space="preserve"> </w:t>
      </w:r>
    </w:p>
    <w:p w:rsidR="00930CD9" w:rsidRPr="00852A48" w:rsidRDefault="00930CD9" w:rsidP="00375A3D">
      <w:pPr>
        <w:autoSpaceDE w:val="0"/>
        <w:autoSpaceDN w:val="0"/>
        <w:adjustRightInd w:val="0"/>
        <w:spacing w:after="0" w:line="240" w:lineRule="auto"/>
        <w:rPr>
          <w:rFonts w:ascii="Arial" w:hAnsi="Arial" w:cs="Arial"/>
        </w:rPr>
      </w:pPr>
    </w:p>
    <w:p w:rsidR="00930CD9" w:rsidRPr="00852A48" w:rsidRDefault="00930CD9" w:rsidP="00375A3D">
      <w:pPr>
        <w:autoSpaceDE w:val="0"/>
        <w:autoSpaceDN w:val="0"/>
        <w:adjustRightInd w:val="0"/>
        <w:spacing w:after="0" w:line="240" w:lineRule="auto"/>
        <w:rPr>
          <w:rFonts w:ascii="Arial" w:hAnsi="Arial" w:cs="Arial"/>
        </w:rPr>
      </w:pPr>
      <w:r w:rsidRPr="00852A48">
        <w:rPr>
          <w:rFonts w:ascii="Arial" w:hAnsi="Arial" w:cs="Arial"/>
        </w:rPr>
        <w:t xml:space="preserve">There is no requirement that career services be provided as a condition to receive training services. However, if career services are not provided before training, the circumstances that justify the determination to provide training services to the participant without first providing an interview, evaluation, or assessment, and career planning informed by local labor market information and training provider performance information must be documented in an NEworks case note. </w:t>
      </w:r>
    </w:p>
    <w:p w:rsidR="00930CD9" w:rsidRPr="00852A48" w:rsidRDefault="00930CD9" w:rsidP="00375A3D">
      <w:pPr>
        <w:autoSpaceDE w:val="0"/>
        <w:autoSpaceDN w:val="0"/>
        <w:adjustRightInd w:val="0"/>
        <w:spacing w:after="0" w:line="240" w:lineRule="auto"/>
        <w:rPr>
          <w:rFonts w:ascii="Arial" w:hAnsi="Arial" w:cs="Arial"/>
        </w:rPr>
      </w:pPr>
    </w:p>
    <w:p w:rsidR="00930CD9" w:rsidRPr="00852A48" w:rsidRDefault="00930CD9" w:rsidP="00375A3D">
      <w:pPr>
        <w:autoSpaceDE w:val="0"/>
        <w:autoSpaceDN w:val="0"/>
        <w:adjustRightInd w:val="0"/>
        <w:spacing w:after="0" w:line="240" w:lineRule="auto"/>
        <w:rPr>
          <w:rFonts w:ascii="Arial" w:hAnsi="Arial" w:cs="Arial"/>
        </w:rPr>
      </w:pPr>
      <w:r w:rsidRPr="00852A48">
        <w:rPr>
          <w:rFonts w:ascii="Arial" w:hAnsi="Arial" w:cs="Arial"/>
        </w:rPr>
        <w:t xml:space="preserve">Prior to receiving training services the Training Justification tab in the NEworks WIOA Application must be completed to provide documentation that all eligibility criteria listed below are met. </w:t>
      </w:r>
    </w:p>
    <w:p w:rsidR="00930CD9" w:rsidRPr="00852A48" w:rsidRDefault="00930CD9" w:rsidP="00375A3D">
      <w:pPr>
        <w:autoSpaceDE w:val="0"/>
        <w:autoSpaceDN w:val="0"/>
        <w:adjustRightInd w:val="0"/>
        <w:spacing w:after="0" w:line="240" w:lineRule="auto"/>
        <w:rPr>
          <w:rFonts w:ascii="Arial" w:hAnsi="Arial" w:cs="Arial"/>
        </w:rPr>
      </w:pPr>
    </w:p>
    <w:p w:rsidR="00930CD9" w:rsidRPr="00852A48" w:rsidRDefault="00930CD9" w:rsidP="00930CD9">
      <w:pPr>
        <w:spacing w:after="0" w:line="240" w:lineRule="auto"/>
        <w:rPr>
          <w:rFonts w:ascii="Arial" w:eastAsia="+mn-ea" w:hAnsi="Arial" w:cs="Arial"/>
          <w:bCs/>
          <w:kern w:val="24"/>
        </w:rPr>
      </w:pPr>
      <w:r w:rsidRPr="00852A48">
        <w:rPr>
          <w:rFonts w:ascii="Arial" w:eastAsia="+mn-ea" w:hAnsi="Arial" w:cs="Arial"/>
          <w:bCs/>
          <w:kern w:val="24"/>
        </w:rPr>
        <w:t>Eligibility criteria for employed and unemployed A</w:t>
      </w:r>
      <w:r w:rsidR="00956B0E" w:rsidRPr="00852A48">
        <w:rPr>
          <w:rFonts w:ascii="Arial" w:eastAsia="+mn-ea" w:hAnsi="Arial" w:cs="Arial"/>
          <w:bCs/>
          <w:kern w:val="24"/>
        </w:rPr>
        <w:t>dult</w:t>
      </w:r>
      <w:r w:rsidRPr="00852A48">
        <w:rPr>
          <w:rFonts w:ascii="Arial" w:eastAsia="+mn-ea" w:hAnsi="Arial" w:cs="Arial"/>
          <w:bCs/>
          <w:kern w:val="24"/>
        </w:rPr>
        <w:t xml:space="preserve"> and DLW </w:t>
      </w:r>
      <w:r w:rsidR="00956B0E" w:rsidRPr="00852A48">
        <w:rPr>
          <w:rFonts w:ascii="Arial" w:eastAsia="+mn-ea" w:hAnsi="Arial" w:cs="Arial"/>
          <w:bCs/>
          <w:kern w:val="24"/>
        </w:rPr>
        <w:t>for the receipt of training services</w:t>
      </w:r>
      <w:r w:rsidRPr="00852A48">
        <w:rPr>
          <w:rFonts w:ascii="Arial" w:eastAsia="+mn-ea" w:hAnsi="Arial" w:cs="Arial"/>
          <w:bCs/>
          <w:kern w:val="24"/>
        </w:rPr>
        <w:t>:</w:t>
      </w:r>
    </w:p>
    <w:p w:rsidR="00930CD9" w:rsidRPr="00852A48" w:rsidRDefault="00930CD9" w:rsidP="00930CD9">
      <w:pPr>
        <w:spacing w:after="0" w:line="240" w:lineRule="auto"/>
        <w:rPr>
          <w:rFonts w:ascii="Arial" w:eastAsia="+mn-ea" w:hAnsi="Arial" w:cs="Arial"/>
          <w:bCs/>
          <w:kern w:val="24"/>
        </w:rPr>
      </w:pPr>
    </w:p>
    <w:p w:rsidR="00930CD9" w:rsidRPr="00852A48" w:rsidRDefault="00930CD9" w:rsidP="00930CD9">
      <w:pPr>
        <w:pStyle w:val="ListParagraph"/>
        <w:numPr>
          <w:ilvl w:val="0"/>
          <w:numId w:val="19"/>
        </w:numPr>
        <w:spacing w:after="0" w:line="240" w:lineRule="auto"/>
        <w:rPr>
          <w:rFonts w:ascii="Arial" w:eastAsia="+mn-ea" w:hAnsi="Arial" w:cs="Arial"/>
          <w:bCs/>
          <w:kern w:val="24"/>
        </w:rPr>
      </w:pPr>
      <w:r w:rsidRPr="00852A48">
        <w:rPr>
          <w:rFonts w:ascii="Arial" w:eastAsia="+mn-ea" w:hAnsi="Arial" w:cs="Arial"/>
          <w:bCs/>
          <w:kern w:val="24"/>
        </w:rPr>
        <w:t>A one-stop center or one-stop partner determines, after an interview, evaluation, or assessment, and career planning, are:</w:t>
      </w:r>
    </w:p>
    <w:p w:rsidR="00930CD9" w:rsidRPr="00852A48" w:rsidRDefault="00930CD9" w:rsidP="00930CD9">
      <w:pPr>
        <w:pStyle w:val="ListParagraph"/>
        <w:numPr>
          <w:ilvl w:val="1"/>
          <w:numId w:val="19"/>
        </w:numPr>
        <w:spacing w:after="0" w:line="240" w:lineRule="auto"/>
        <w:rPr>
          <w:rFonts w:ascii="Arial" w:eastAsia="+mn-ea" w:hAnsi="Arial" w:cs="Arial"/>
          <w:bCs/>
          <w:kern w:val="24"/>
        </w:rPr>
      </w:pPr>
      <w:r w:rsidRPr="00852A48">
        <w:rPr>
          <w:rFonts w:ascii="Arial" w:eastAsia="+mn-ea" w:hAnsi="Arial" w:cs="Arial"/>
          <w:bCs/>
          <w:kern w:val="24"/>
        </w:rPr>
        <w:t>Unlikely or unable to obtain or retain employment that leads to economic self-sufficiency or wages comparable to or higher than wages from previous employment through career services;</w:t>
      </w:r>
    </w:p>
    <w:p w:rsidR="00930CD9" w:rsidRPr="00852A48" w:rsidRDefault="00930CD9" w:rsidP="00930CD9">
      <w:pPr>
        <w:pStyle w:val="ListParagraph"/>
        <w:numPr>
          <w:ilvl w:val="1"/>
          <w:numId w:val="19"/>
        </w:numPr>
        <w:spacing w:after="0" w:line="240" w:lineRule="auto"/>
        <w:rPr>
          <w:rFonts w:ascii="Arial" w:eastAsia="+mn-ea" w:hAnsi="Arial" w:cs="Arial"/>
          <w:bCs/>
          <w:kern w:val="24"/>
        </w:rPr>
      </w:pPr>
      <w:r w:rsidRPr="00852A48">
        <w:rPr>
          <w:rFonts w:ascii="Arial" w:eastAsia="+mn-ea" w:hAnsi="Arial" w:cs="Arial"/>
          <w:bCs/>
          <w:kern w:val="24"/>
        </w:rPr>
        <w:t xml:space="preserve">In need of training services to obtain or retain employment leading to economic self-sufficiency or wages comparable to or higher than wages from previous employment; and </w:t>
      </w:r>
    </w:p>
    <w:p w:rsidR="00930CD9" w:rsidRPr="00852A48" w:rsidRDefault="00930CD9" w:rsidP="00930CD9">
      <w:pPr>
        <w:pStyle w:val="ListParagraph"/>
        <w:numPr>
          <w:ilvl w:val="1"/>
          <w:numId w:val="19"/>
        </w:numPr>
        <w:spacing w:after="0" w:line="240" w:lineRule="auto"/>
        <w:rPr>
          <w:rFonts w:ascii="Arial" w:eastAsia="+mn-ea" w:hAnsi="Arial" w:cs="Arial"/>
          <w:bCs/>
          <w:kern w:val="24"/>
        </w:rPr>
      </w:pPr>
      <w:r w:rsidRPr="00852A48">
        <w:rPr>
          <w:rFonts w:ascii="Arial" w:eastAsia="+mn-ea" w:hAnsi="Arial" w:cs="Arial"/>
          <w:bCs/>
          <w:kern w:val="24"/>
        </w:rPr>
        <w:t xml:space="preserve">Have the skills and qualifications to participate successfully in training services. </w:t>
      </w:r>
    </w:p>
    <w:p w:rsidR="00930CD9" w:rsidRPr="00852A48" w:rsidRDefault="00930CD9" w:rsidP="00930CD9">
      <w:pPr>
        <w:pStyle w:val="ListParagraph"/>
        <w:numPr>
          <w:ilvl w:val="0"/>
          <w:numId w:val="19"/>
        </w:numPr>
        <w:spacing w:after="0" w:line="240" w:lineRule="auto"/>
        <w:rPr>
          <w:rFonts w:ascii="Arial" w:eastAsia="+mn-ea" w:hAnsi="Arial" w:cs="Arial"/>
          <w:bCs/>
          <w:kern w:val="24"/>
        </w:rPr>
      </w:pPr>
      <w:r w:rsidRPr="00852A48">
        <w:rPr>
          <w:rFonts w:ascii="Arial" w:eastAsia="+mn-ea" w:hAnsi="Arial" w:cs="Arial"/>
          <w:bCs/>
          <w:kern w:val="24"/>
        </w:rPr>
        <w:t xml:space="preserve">Selects a program of training services that is directly linked to the employment opportunities in the local area or in another area to which the individual is willing to commute or relocate. </w:t>
      </w:r>
    </w:p>
    <w:p w:rsidR="00930CD9" w:rsidRPr="00852A48" w:rsidRDefault="00930CD9" w:rsidP="00930CD9">
      <w:pPr>
        <w:pStyle w:val="ListParagraph"/>
        <w:numPr>
          <w:ilvl w:val="0"/>
          <w:numId w:val="19"/>
        </w:numPr>
        <w:spacing w:after="0" w:line="240" w:lineRule="auto"/>
        <w:rPr>
          <w:rFonts w:ascii="Arial" w:eastAsia="+mn-ea" w:hAnsi="Arial" w:cs="Arial"/>
          <w:bCs/>
          <w:kern w:val="24"/>
        </w:rPr>
      </w:pPr>
      <w:r w:rsidRPr="00852A48">
        <w:rPr>
          <w:rFonts w:ascii="Arial" w:eastAsia="+mn-ea" w:hAnsi="Arial" w:cs="Arial"/>
          <w:bCs/>
          <w:kern w:val="24"/>
        </w:rPr>
        <w:t xml:space="preserve">Are unable to obtain grant assistance from other sources to pay costs of such training, including such sources as State-funded training funds, Trade Adjustment Assistance (TAA), and Federal Pell Grants, or require WIOA assistance in addition to other sources of grant assistance. </w:t>
      </w:r>
    </w:p>
    <w:p w:rsidR="007D4F4E" w:rsidRPr="00852A48" w:rsidRDefault="007D4F4E" w:rsidP="00930CD9">
      <w:pPr>
        <w:autoSpaceDE w:val="0"/>
        <w:autoSpaceDN w:val="0"/>
        <w:adjustRightInd w:val="0"/>
        <w:spacing w:after="0" w:line="240" w:lineRule="auto"/>
        <w:rPr>
          <w:rFonts w:ascii="Arial" w:hAnsi="Arial" w:cs="Arial"/>
        </w:rPr>
      </w:pPr>
    </w:p>
    <w:p w:rsidR="007D4F4E" w:rsidRPr="00852A48" w:rsidRDefault="007D4F4E" w:rsidP="00930CD9">
      <w:pPr>
        <w:autoSpaceDE w:val="0"/>
        <w:autoSpaceDN w:val="0"/>
        <w:adjustRightInd w:val="0"/>
        <w:spacing w:after="0" w:line="240" w:lineRule="auto"/>
        <w:rPr>
          <w:rFonts w:ascii="Arial" w:hAnsi="Arial" w:cs="Arial"/>
        </w:rPr>
      </w:pPr>
      <w:r w:rsidRPr="00852A48">
        <w:rPr>
          <w:rFonts w:ascii="Arial" w:hAnsi="Arial" w:cs="Arial"/>
        </w:rPr>
        <w:t>Training Services include</w:t>
      </w:r>
      <w:r w:rsidR="00110E90" w:rsidRPr="00852A48">
        <w:rPr>
          <w:rFonts w:ascii="Arial" w:hAnsi="Arial" w:cs="Arial"/>
        </w:rPr>
        <w:t>, but are not limited to</w:t>
      </w:r>
      <w:r w:rsidRPr="00852A48">
        <w:rPr>
          <w:rFonts w:ascii="Arial" w:hAnsi="Arial" w:cs="Arial"/>
        </w:rPr>
        <w:t>:</w:t>
      </w:r>
    </w:p>
    <w:p w:rsidR="007D4F4E" w:rsidRPr="00852A48" w:rsidRDefault="007D4F4E" w:rsidP="00930CD9">
      <w:pPr>
        <w:autoSpaceDE w:val="0"/>
        <w:autoSpaceDN w:val="0"/>
        <w:adjustRightInd w:val="0"/>
        <w:spacing w:after="0" w:line="240" w:lineRule="auto"/>
        <w:rPr>
          <w:rFonts w:ascii="Arial" w:hAnsi="Arial" w:cs="Arial"/>
        </w:rPr>
      </w:pPr>
    </w:p>
    <w:p w:rsidR="007D4F4E" w:rsidRPr="00852A48" w:rsidRDefault="007D4F4E" w:rsidP="00930CD9">
      <w:pPr>
        <w:pStyle w:val="ListParagraph"/>
        <w:numPr>
          <w:ilvl w:val="0"/>
          <w:numId w:val="20"/>
        </w:numPr>
        <w:autoSpaceDE w:val="0"/>
        <w:autoSpaceDN w:val="0"/>
        <w:adjustRightInd w:val="0"/>
        <w:spacing w:after="0" w:line="240" w:lineRule="auto"/>
        <w:rPr>
          <w:rFonts w:ascii="Arial" w:hAnsi="Arial" w:cs="Arial"/>
        </w:rPr>
      </w:pPr>
      <w:r w:rsidRPr="00852A48">
        <w:rPr>
          <w:rFonts w:ascii="Arial" w:hAnsi="Arial" w:cs="Arial"/>
        </w:rPr>
        <w:t>Occupational skills training, including training for nontraditional employment.</w:t>
      </w:r>
    </w:p>
    <w:p w:rsidR="007D4F4E" w:rsidRPr="00852A48" w:rsidRDefault="007D4F4E" w:rsidP="007D4F4E">
      <w:pPr>
        <w:pStyle w:val="ListParagraph"/>
        <w:numPr>
          <w:ilvl w:val="0"/>
          <w:numId w:val="20"/>
        </w:numPr>
        <w:autoSpaceDE w:val="0"/>
        <w:autoSpaceDN w:val="0"/>
        <w:adjustRightInd w:val="0"/>
        <w:spacing w:after="0" w:line="240" w:lineRule="auto"/>
        <w:rPr>
          <w:rFonts w:ascii="Arial" w:hAnsi="Arial" w:cs="Arial"/>
        </w:rPr>
      </w:pPr>
      <w:r w:rsidRPr="00852A48">
        <w:rPr>
          <w:rFonts w:ascii="Arial" w:hAnsi="Arial" w:cs="Arial"/>
        </w:rPr>
        <w:t>On-the-job training.</w:t>
      </w:r>
    </w:p>
    <w:p w:rsidR="007D4F4E" w:rsidRPr="00852A48" w:rsidRDefault="007D4F4E" w:rsidP="007D4F4E">
      <w:pPr>
        <w:pStyle w:val="ListParagraph"/>
        <w:numPr>
          <w:ilvl w:val="0"/>
          <w:numId w:val="20"/>
        </w:numPr>
        <w:autoSpaceDE w:val="0"/>
        <w:autoSpaceDN w:val="0"/>
        <w:adjustRightInd w:val="0"/>
        <w:spacing w:after="0" w:line="240" w:lineRule="auto"/>
        <w:rPr>
          <w:rFonts w:ascii="Arial" w:hAnsi="Arial" w:cs="Arial"/>
        </w:rPr>
      </w:pPr>
      <w:r w:rsidRPr="00852A48">
        <w:rPr>
          <w:rFonts w:ascii="Arial" w:hAnsi="Arial" w:cs="Arial"/>
        </w:rPr>
        <w:t>Incumbent worker training.</w:t>
      </w:r>
    </w:p>
    <w:p w:rsidR="007D4F4E" w:rsidRPr="00852A48" w:rsidRDefault="007D4F4E" w:rsidP="007D4F4E">
      <w:pPr>
        <w:pStyle w:val="ListParagraph"/>
        <w:numPr>
          <w:ilvl w:val="0"/>
          <w:numId w:val="20"/>
        </w:numPr>
        <w:autoSpaceDE w:val="0"/>
        <w:autoSpaceDN w:val="0"/>
        <w:adjustRightInd w:val="0"/>
        <w:spacing w:after="0" w:line="240" w:lineRule="auto"/>
        <w:rPr>
          <w:rFonts w:ascii="Arial" w:hAnsi="Arial" w:cs="Arial"/>
        </w:rPr>
      </w:pPr>
      <w:r w:rsidRPr="00852A48">
        <w:rPr>
          <w:rFonts w:ascii="Arial" w:hAnsi="Arial" w:cs="Arial"/>
        </w:rPr>
        <w:t>Programs that combine workplace training with related instruction, which ma</w:t>
      </w:r>
      <w:r w:rsidR="003D633E">
        <w:rPr>
          <w:rFonts w:ascii="Arial" w:hAnsi="Arial" w:cs="Arial"/>
        </w:rPr>
        <w:t>y</w:t>
      </w:r>
      <w:r w:rsidRPr="00852A48">
        <w:rPr>
          <w:rFonts w:ascii="Arial" w:hAnsi="Arial" w:cs="Arial"/>
        </w:rPr>
        <w:t xml:space="preserve"> include cooperative education program. </w:t>
      </w:r>
    </w:p>
    <w:p w:rsidR="007D4F4E" w:rsidRPr="00852A48" w:rsidRDefault="007D4F4E" w:rsidP="007D4F4E">
      <w:pPr>
        <w:pStyle w:val="ListParagraph"/>
        <w:numPr>
          <w:ilvl w:val="0"/>
          <w:numId w:val="20"/>
        </w:numPr>
        <w:autoSpaceDE w:val="0"/>
        <w:autoSpaceDN w:val="0"/>
        <w:adjustRightInd w:val="0"/>
        <w:spacing w:after="0" w:line="240" w:lineRule="auto"/>
        <w:rPr>
          <w:rFonts w:ascii="Arial" w:hAnsi="Arial" w:cs="Arial"/>
        </w:rPr>
      </w:pPr>
      <w:r w:rsidRPr="00852A48">
        <w:rPr>
          <w:rFonts w:ascii="Arial" w:hAnsi="Arial" w:cs="Arial"/>
        </w:rPr>
        <w:t xml:space="preserve">Training programs operated by the private sector. </w:t>
      </w:r>
    </w:p>
    <w:p w:rsidR="007D4F4E" w:rsidRPr="00852A48" w:rsidRDefault="007D4F4E" w:rsidP="007D4F4E">
      <w:pPr>
        <w:pStyle w:val="ListParagraph"/>
        <w:numPr>
          <w:ilvl w:val="0"/>
          <w:numId w:val="20"/>
        </w:numPr>
        <w:autoSpaceDE w:val="0"/>
        <w:autoSpaceDN w:val="0"/>
        <w:adjustRightInd w:val="0"/>
        <w:spacing w:after="0" w:line="240" w:lineRule="auto"/>
        <w:rPr>
          <w:rFonts w:ascii="Arial" w:hAnsi="Arial" w:cs="Arial"/>
        </w:rPr>
      </w:pPr>
      <w:r w:rsidRPr="00852A48">
        <w:rPr>
          <w:rFonts w:ascii="Arial" w:hAnsi="Arial" w:cs="Arial"/>
        </w:rPr>
        <w:lastRenderedPageBreak/>
        <w:t xml:space="preserve">Skills upgrading or retraining. </w:t>
      </w:r>
    </w:p>
    <w:p w:rsidR="007D4F4E" w:rsidRPr="00852A48" w:rsidRDefault="007D4F4E" w:rsidP="007D4F4E">
      <w:pPr>
        <w:pStyle w:val="ListParagraph"/>
        <w:numPr>
          <w:ilvl w:val="0"/>
          <w:numId w:val="20"/>
        </w:numPr>
        <w:autoSpaceDE w:val="0"/>
        <w:autoSpaceDN w:val="0"/>
        <w:adjustRightInd w:val="0"/>
        <w:spacing w:after="0" w:line="240" w:lineRule="auto"/>
        <w:rPr>
          <w:rFonts w:ascii="Arial" w:hAnsi="Arial" w:cs="Arial"/>
        </w:rPr>
      </w:pPr>
      <w:r w:rsidRPr="00852A48">
        <w:rPr>
          <w:rFonts w:ascii="Arial" w:hAnsi="Arial" w:cs="Arial"/>
        </w:rPr>
        <w:t xml:space="preserve">Entrepreneurial training. </w:t>
      </w:r>
    </w:p>
    <w:p w:rsidR="007D4F4E" w:rsidRPr="00852A48" w:rsidRDefault="007D4F4E" w:rsidP="007D4F4E">
      <w:pPr>
        <w:pStyle w:val="ListParagraph"/>
        <w:numPr>
          <w:ilvl w:val="0"/>
          <w:numId w:val="20"/>
        </w:numPr>
        <w:autoSpaceDE w:val="0"/>
        <w:autoSpaceDN w:val="0"/>
        <w:adjustRightInd w:val="0"/>
        <w:spacing w:after="0" w:line="240" w:lineRule="auto"/>
        <w:rPr>
          <w:rFonts w:ascii="Arial" w:hAnsi="Arial" w:cs="Arial"/>
        </w:rPr>
      </w:pPr>
      <w:r w:rsidRPr="00852A48">
        <w:rPr>
          <w:rFonts w:ascii="Arial" w:hAnsi="Arial" w:cs="Arial"/>
        </w:rPr>
        <w:t xml:space="preserve">Transitional jobs. </w:t>
      </w:r>
    </w:p>
    <w:p w:rsidR="007D4F4E" w:rsidRPr="00852A48" w:rsidRDefault="007D4F4E" w:rsidP="007D4F4E">
      <w:pPr>
        <w:pStyle w:val="ListParagraph"/>
        <w:numPr>
          <w:ilvl w:val="0"/>
          <w:numId w:val="20"/>
        </w:numPr>
        <w:autoSpaceDE w:val="0"/>
        <w:autoSpaceDN w:val="0"/>
        <w:adjustRightInd w:val="0"/>
        <w:spacing w:after="0" w:line="240" w:lineRule="auto"/>
        <w:rPr>
          <w:rFonts w:ascii="Arial" w:hAnsi="Arial" w:cs="Arial"/>
        </w:rPr>
      </w:pPr>
      <w:r w:rsidRPr="00852A48">
        <w:rPr>
          <w:rFonts w:ascii="Arial" w:hAnsi="Arial" w:cs="Arial"/>
        </w:rPr>
        <w:t xml:space="preserve">Job readiness training provided in combination with one or more of the training services listed above. </w:t>
      </w:r>
    </w:p>
    <w:p w:rsidR="007D4F4E" w:rsidRPr="00852A48" w:rsidRDefault="007D4F4E" w:rsidP="007D4F4E">
      <w:pPr>
        <w:pStyle w:val="ListParagraph"/>
        <w:numPr>
          <w:ilvl w:val="0"/>
          <w:numId w:val="20"/>
        </w:numPr>
        <w:autoSpaceDE w:val="0"/>
        <w:autoSpaceDN w:val="0"/>
        <w:adjustRightInd w:val="0"/>
        <w:spacing w:after="0" w:line="240" w:lineRule="auto"/>
        <w:rPr>
          <w:rFonts w:ascii="Arial" w:hAnsi="Arial" w:cs="Arial"/>
        </w:rPr>
      </w:pPr>
      <w:r w:rsidRPr="00852A48">
        <w:rPr>
          <w:rFonts w:ascii="Arial" w:hAnsi="Arial" w:cs="Arial"/>
        </w:rPr>
        <w:t xml:space="preserve">Customized training conducted with a commitment by an employer or group of employers to employ an individual upon successful completion of the training. </w:t>
      </w:r>
    </w:p>
    <w:p w:rsidR="002D5376" w:rsidRPr="00852A48" w:rsidRDefault="002D5376" w:rsidP="005D3C02">
      <w:pPr>
        <w:spacing w:after="0" w:line="240" w:lineRule="auto"/>
        <w:jc w:val="both"/>
        <w:rPr>
          <w:rFonts w:ascii="Arial" w:eastAsia="+mn-ea" w:hAnsi="Arial" w:cs="Arial"/>
          <w:bCs/>
          <w:kern w:val="24"/>
        </w:rPr>
      </w:pPr>
    </w:p>
    <w:p w:rsidR="00272E69" w:rsidRPr="00852A48" w:rsidRDefault="00272E69" w:rsidP="005D3C02">
      <w:pPr>
        <w:spacing w:after="0" w:line="240" w:lineRule="auto"/>
        <w:jc w:val="both"/>
        <w:rPr>
          <w:rFonts w:ascii="Arial" w:eastAsia="+mn-ea" w:hAnsi="Arial" w:cs="Arial"/>
          <w:bCs/>
          <w:kern w:val="24"/>
        </w:rPr>
      </w:pPr>
      <w:r w:rsidRPr="00852A48">
        <w:rPr>
          <w:rFonts w:ascii="Arial" w:eastAsia="+mn-ea" w:hAnsi="Arial" w:cs="Arial"/>
          <w:bCs/>
          <w:kern w:val="24"/>
        </w:rPr>
        <w:t xml:space="preserve">Training services, when determined appropriate, must be provided either through an Individual Training Account (ITA) or through a training contract. </w:t>
      </w:r>
      <w:r w:rsidR="0038507F">
        <w:rPr>
          <w:rFonts w:ascii="Arial" w:eastAsia="+mn-ea" w:hAnsi="Arial" w:cs="Arial"/>
          <w:bCs/>
          <w:kern w:val="24"/>
        </w:rPr>
        <w:t xml:space="preserve">Further guidelines regarding ITAs and training contracts can be found in </w:t>
      </w:r>
      <w:r w:rsidRPr="00852A48">
        <w:rPr>
          <w:rFonts w:ascii="Arial" w:eastAsia="+mn-ea" w:hAnsi="Arial" w:cs="Arial"/>
          <w:bCs/>
          <w:kern w:val="24"/>
        </w:rPr>
        <w:t xml:space="preserve">Greater Nebraska’s </w:t>
      </w:r>
      <w:r w:rsidR="0038507F">
        <w:rPr>
          <w:rFonts w:ascii="Arial" w:eastAsia="+mn-ea" w:hAnsi="Arial" w:cs="Arial"/>
          <w:bCs/>
          <w:kern w:val="24"/>
        </w:rPr>
        <w:t>Individual Training Account (</w:t>
      </w:r>
      <w:r w:rsidRPr="00852A48">
        <w:rPr>
          <w:rFonts w:ascii="Arial" w:eastAsia="+mn-ea" w:hAnsi="Arial" w:cs="Arial"/>
          <w:bCs/>
          <w:kern w:val="24"/>
        </w:rPr>
        <w:t>ITA</w:t>
      </w:r>
      <w:r w:rsidR="0038507F">
        <w:rPr>
          <w:rFonts w:ascii="Arial" w:eastAsia="+mn-ea" w:hAnsi="Arial" w:cs="Arial"/>
          <w:bCs/>
          <w:kern w:val="24"/>
        </w:rPr>
        <w:t>)</w:t>
      </w:r>
      <w:r w:rsidRPr="00852A48">
        <w:rPr>
          <w:rFonts w:ascii="Arial" w:eastAsia="+mn-ea" w:hAnsi="Arial" w:cs="Arial"/>
          <w:bCs/>
          <w:kern w:val="24"/>
        </w:rPr>
        <w:t xml:space="preserve"> policy </w:t>
      </w:r>
      <w:r w:rsidR="0038507F">
        <w:rPr>
          <w:rFonts w:ascii="Arial" w:eastAsia="+mn-ea" w:hAnsi="Arial" w:cs="Arial"/>
          <w:bCs/>
          <w:kern w:val="24"/>
        </w:rPr>
        <w:t>and Greater Nebraska’s Contracting with Training Providers for Training Services policy.</w:t>
      </w:r>
      <w:r w:rsidR="0037498D">
        <w:rPr>
          <w:rFonts w:ascii="Arial" w:eastAsia="+mn-ea" w:hAnsi="Arial" w:cs="Arial"/>
          <w:bCs/>
          <w:kern w:val="24"/>
        </w:rPr>
        <w:t xml:space="preserve"> </w:t>
      </w:r>
    </w:p>
    <w:p w:rsidR="00272E69" w:rsidRPr="00852A48" w:rsidRDefault="00272E69" w:rsidP="005D3C02">
      <w:pPr>
        <w:spacing w:after="0" w:line="240" w:lineRule="auto"/>
        <w:jc w:val="both"/>
        <w:rPr>
          <w:rFonts w:ascii="Arial" w:eastAsia="+mn-ea" w:hAnsi="Arial" w:cs="Arial"/>
          <w:bCs/>
          <w:kern w:val="24"/>
        </w:rPr>
      </w:pPr>
    </w:p>
    <w:p w:rsidR="002D5376" w:rsidRPr="00852A48" w:rsidRDefault="00895F9C" w:rsidP="002D5376">
      <w:pPr>
        <w:spacing w:after="0" w:line="240" w:lineRule="auto"/>
        <w:rPr>
          <w:rFonts w:ascii="Arial" w:eastAsia="+mn-ea" w:hAnsi="Arial" w:cs="Arial"/>
          <w:b/>
          <w:bCs/>
          <w:color w:val="BB1F53"/>
          <w:kern w:val="24"/>
        </w:rPr>
      </w:pPr>
      <w:r w:rsidRPr="00852A48">
        <w:rPr>
          <w:rFonts w:ascii="Arial" w:eastAsia="+mn-ea" w:hAnsi="Arial" w:cs="Arial"/>
          <w:b/>
          <w:bCs/>
          <w:color w:val="BB1F53"/>
          <w:kern w:val="24"/>
        </w:rPr>
        <w:t>Co-enrollment and Coordination of Services</w:t>
      </w:r>
    </w:p>
    <w:p w:rsidR="00956B0E" w:rsidRPr="00852A48" w:rsidRDefault="00956B0E" w:rsidP="002D5376">
      <w:pPr>
        <w:spacing w:after="0" w:line="240" w:lineRule="auto"/>
        <w:rPr>
          <w:rFonts w:ascii="Arial" w:eastAsia="+mn-ea" w:hAnsi="Arial" w:cs="Arial"/>
          <w:b/>
          <w:bCs/>
          <w:color w:val="BB1F53"/>
          <w:kern w:val="24"/>
        </w:rPr>
      </w:pPr>
    </w:p>
    <w:p w:rsidR="002D5376" w:rsidRPr="00852A48" w:rsidRDefault="00956B0E" w:rsidP="002D5376">
      <w:pPr>
        <w:spacing w:after="0" w:line="240" w:lineRule="auto"/>
        <w:rPr>
          <w:rFonts w:ascii="Arial" w:eastAsia="+mn-ea" w:hAnsi="Arial" w:cs="Arial"/>
          <w:bCs/>
          <w:kern w:val="24"/>
        </w:rPr>
      </w:pPr>
      <w:r w:rsidRPr="00852A48">
        <w:rPr>
          <w:rFonts w:ascii="Arial" w:eastAsia="+mn-ea" w:hAnsi="Arial" w:cs="Arial"/>
          <w:bCs/>
          <w:kern w:val="24"/>
        </w:rPr>
        <w:t xml:space="preserve">Adult and DLW must be co-enrolled in partner programs when eligibility permits and co-enrollment benefits the participant. The participant must agree to co-enrollment. </w:t>
      </w:r>
    </w:p>
    <w:p w:rsidR="00956B0E" w:rsidRPr="00852A48" w:rsidRDefault="00956B0E" w:rsidP="002D5376">
      <w:pPr>
        <w:spacing w:after="0" w:line="240" w:lineRule="auto"/>
        <w:rPr>
          <w:rFonts w:ascii="Arial" w:eastAsia="+mn-ea" w:hAnsi="Arial" w:cs="Arial"/>
          <w:bCs/>
          <w:kern w:val="24"/>
        </w:rPr>
      </w:pPr>
    </w:p>
    <w:p w:rsidR="00956B0E" w:rsidRPr="00852A48" w:rsidRDefault="00956B0E" w:rsidP="002D5376">
      <w:pPr>
        <w:spacing w:after="0" w:line="240" w:lineRule="auto"/>
        <w:rPr>
          <w:rFonts w:ascii="Arial" w:eastAsia="+mn-ea" w:hAnsi="Arial" w:cs="Arial"/>
          <w:bCs/>
          <w:kern w:val="24"/>
        </w:rPr>
      </w:pPr>
      <w:r w:rsidRPr="00852A48">
        <w:rPr>
          <w:rFonts w:ascii="Arial" w:eastAsia="+mn-ea" w:hAnsi="Arial" w:cs="Arial"/>
          <w:bCs/>
          <w:kern w:val="24"/>
        </w:rPr>
        <w:t>Career planners must:</w:t>
      </w:r>
    </w:p>
    <w:p w:rsidR="00956B0E" w:rsidRPr="00852A48" w:rsidRDefault="00956B0E" w:rsidP="002D5376">
      <w:pPr>
        <w:spacing w:after="0" w:line="240" w:lineRule="auto"/>
        <w:rPr>
          <w:rFonts w:ascii="Arial" w:eastAsia="+mn-ea" w:hAnsi="Arial" w:cs="Arial"/>
          <w:bCs/>
          <w:kern w:val="24"/>
        </w:rPr>
      </w:pPr>
    </w:p>
    <w:p w:rsidR="00956B0E" w:rsidRPr="00852A48" w:rsidRDefault="00956B0E" w:rsidP="00956B0E">
      <w:pPr>
        <w:pStyle w:val="ListParagraph"/>
        <w:numPr>
          <w:ilvl w:val="0"/>
          <w:numId w:val="21"/>
        </w:numPr>
        <w:spacing w:after="0" w:line="240" w:lineRule="auto"/>
        <w:rPr>
          <w:rFonts w:ascii="Arial" w:eastAsia="+mn-ea" w:hAnsi="Arial" w:cs="Arial"/>
          <w:bCs/>
          <w:kern w:val="24"/>
        </w:rPr>
      </w:pPr>
      <w:r w:rsidRPr="00852A48">
        <w:rPr>
          <w:rFonts w:ascii="Arial" w:eastAsia="+mn-ea" w:hAnsi="Arial" w:cs="Arial"/>
          <w:bCs/>
          <w:kern w:val="24"/>
        </w:rPr>
        <w:t xml:space="preserve">Ensure coordination of services, including career, training, and supportive services, with one-stop partners and other entities; </w:t>
      </w:r>
    </w:p>
    <w:p w:rsidR="00956B0E" w:rsidRPr="00852A48" w:rsidRDefault="00956B0E" w:rsidP="00956B0E">
      <w:pPr>
        <w:pStyle w:val="ListParagraph"/>
        <w:numPr>
          <w:ilvl w:val="0"/>
          <w:numId w:val="21"/>
        </w:numPr>
        <w:spacing w:after="0" w:line="240" w:lineRule="auto"/>
        <w:rPr>
          <w:rFonts w:ascii="Arial" w:eastAsia="+mn-ea" w:hAnsi="Arial" w:cs="Arial"/>
          <w:bCs/>
          <w:kern w:val="24"/>
        </w:rPr>
      </w:pPr>
      <w:r w:rsidRPr="00852A48">
        <w:rPr>
          <w:rFonts w:ascii="Arial" w:eastAsia="+mn-ea" w:hAnsi="Arial" w:cs="Arial"/>
          <w:bCs/>
          <w:kern w:val="24"/>
        </w:rPr>
        <w:t>Identify and track funding streams that pay the costs of services provided to co-enrolled participants; and</w:t>
      </w:r>
    </w:p>
    <w:p w:rsidR="00956B0E" w:rsidRPr="00852A48" w:rsidRDefault="00956B0E" w:rsidP="00956B0E">
      <w:pPr>
        <w:pStyle w:val="ListParagraph"/>
        <w:numPr>
          <w:ilvl w:val="0"/>
          <w:numId w:val="21"/>
        </w:numPr>
        <w:spacing w:after="0" w:line="240" w:lineRule="auto"/>
        <w:rPr>
          <w:rFonts w:ascii="Arial" w:eastAsia="+mn-ea" w:hAnsi="Arial" w:cs="Arial"/>
          <w:bCs/>
          <w:kern w:val="24"/>
        </w:rPr>
      </w:pPr>
      <w:r w:rsidRPr="00852A48">
        <w:rPr>
          <w:rFonts w:ascii="Arial" w:eastAsia="+mn-ea" w:hAnsi="Arial" w:cs="Arial"/>
          <w:bCs/>
          <w:kern w:val="24"/>
        </w:rPr>
        <w:t xml:space="preserve">Ensure no duplication of services across programs. </w:t>
      </w:r>
    </w:p>
    <w:p w:rsidR="00956B0E" w:rsidRPr="00852A48" w:rsidRDefault="00956B0E" w:rsidP="00956B0E">
      <w:pPr>
        <w:spacing w:after="0" w:line="240" w:lineRule="auto"/>
        <w:rPr>
          <w:rFonts w:ascii="Arial" w:eastAsia="+mn-ea" w:hAnsi="Arial" w:cs="Arial"/>
          <w:bCs/>
          <w:kern w:val="24"/>
        </w:rPr>
      </w:pPr>
    </w:p>
    <w:p w:rsidR="00956B0E" w:rsidRPr="00852A48" w:rsidRDefault="00956B0E" w:rsidP="00956B0E">
      <w:pPr>
        <w:spacing w:after="0" w:line="240" w:lineRule="auto"/>
        <w:rPr>
          <w:rFonts w:ascii="Arial" w:eastAsia="+mn-ea" w:hAnsi="Arial" w:cs="Arial"/>
          <w:bCs/>
          <w:kern w:val="24"/>
        </w:rPr>
      </w:pPr>
      <w:r w:rsidRPr="00852A48">
        <w:rPr>
          <w:rFonts w:ascii="Arial" w:eastAsia="+mn-ea" w:hAnsi="Arial" w:cs="Arial"/>
          <w:bCs/>
          <w:kern w:val="24"/>
        </w:rPr>
        <w:t xml:space="preserve">Co-enrollment must be documented in the Partner Programs tab of the participant’s NEworks WIOA Application. Coordination of services must be </w:t>
      </w:r>
      <w:r w:rsidR="00844B97" w:rsidRPr="00852A48">
        <w:rPr>
          <w:rFonts w:ascii="Arial" w:eastAsia="+mn-ea" w:hAnsi="Arial" w:cs="Arial"/>
          <w:bCs/>
          <w:kern w:val="24"/>
        </w:rPr>
        <w:t>documented</w:t>
      </w:r>
      <w:r w:rsidRPr="00852A48">
        <w:rPr>
          <w:rFonts w:ascii="Arial" w:eastAsia="+mn-ea" w:hAnsi="Arial" w:cs="Arial"/>
          <w:bCs/>
          <w:kern w:val="24"/>
        </w:rPr>
        <w:t xml:space="preserve"> in the participant’s NEworks </w:t>
      </w:r>
      <w:r w:rsidR="00844B97" w:rsidRPr="00852A48">
        <w:rPr>
          <w:rFonts w:ascii="Arial" w:eastAsia="+mn-ea" w:hAnsi="Arial" w:cs="Arial"/>
          <w:bCs/>
          <w:kern w:val="24"/>
        </w:rPr>
        <w:t xml:space="preserve">activities and case notes. </w:t>
      </w:r>
    </w:p>
    <w:p w:rsidR="001024BD" w:rsidRPr="00852A48" w:rsidRDefault="001024BD" w:rsidP="002D5376">
      <w:pPr>
        <w:spacing w:after="0" w:line="240" w:lineRule="auto"/>
        <w:rPr>
          <w:rFonts w:ascii="Arial" w:eastAsia="+mn-ea" w:hAnsi="Arial" w:cs="Arial"/>
          <w:bCs/>
          <w:kern w:val="24"/>
        </w:rPr>
      </w:pPr>
    </w:p>
    <w:p w:rsidR="001024BD" w:rsidRDefault="00895F9C" w:rsidP="001024BD">
      <w:pPr>
        <w:spacing w:after="0" w:line="240" w:lineRule="auto"/>
        <w:rPr>
          <w:rFonts w:ascii="Arial" w:eastAsia="+mn-ea" w:hAnsi="Arial" w:cs="Arial"/>
          <w:b/>
          <w:bCs/>
          <w:color w:val="BB1F53"/>
          <w:kern w:val="24"/>
        </w:rPr>
      </w:pPr>
      <w:r w:rsidRPr="00852A48">
        <w:rPr>
          <w:rFonts w:ascii="Arial" w:eastAsia="+mn-ea" w:hAnsi="Arial" w:cs="Arial"/>
          <w:b/>
          <w:bCs/>
          <w:color w:val="BB1F53"/>
          <w:kern w:val="24"/>
        </w:rPr>
        <w:t>Privacy</w:t>
      </w:r>
    </w:p>
    <w:p w:rsidR="00AD1790" w:rsidRPr="00852A48" w:rsidRDefault="00AD1790" w:rsidP="001024BD">
      <w:pPr>
        <w:spacing w:after="0" w:line="240" w:lineRule="auto"/>
        <w:rPr>
          <w:rFonts w:ascii="Arial" w:eastAsia="+mn-ea" w:hAnsi="Arial" w:cs="Arial"/>
          <w:b/>
          <w:bCs/>
          <w:color w:val="BB1F53"/>
          <w:kern w:val="24"/>
        </w:rPr>
      </w:pPr>
    </w:p>
    <w:p w:rsidR="001024BD" w:rsidRPr="00852A48" w:rsidRDefault="00110E90" w:rsidP="001024BD">
      <w:pPr>
        <w:spacing w:after="0" w:line="240" w:lineRule="auto"/>
        <w:rPr>
          <w:rFonts w:ascii="Arial" w:eastAsia="+mn-ea" w:hAnsi="Arial" w:cs="Arial"/>
          <w:bCs/>
          <w:kern w:val="24"/>
        </w:rPr>
      </w:pPr>
      <w:r w:rsidRPr="00852A48">
        <w:rPr>
          <w:rFonts w:ascii="Arial" w:eastAsia="+mn-ea" w:hAnsi="Arial" w:cs="Arial"/>
          <w:bCs/>
          <w:kern w:val="24"/>
        </w:rPr>
        <w:t xml:space="preserve">Career planners must adhere to the confidentiality requirements of the Family Education Rights and Privacy Act, established under Section 444 of the General Education Provisions Act, including requirements regarding circumstances requiring written consent for disclosure of personally identifiable information from an education record. </w:t>
      </w:r>
    </w:p>
    <w:p w:rsidR="001B7835" w:rsidRPr="00852A48" w:rsidRDefault="001B7835" w:rsidP="00EB3645">
      <w:pPr>
        <w:pStyle w:val="Style11"/>
        <w:spacing w:before="0" w:after="0"/>
        <w:jc w:val="both"/>
        <w:rPr>
          <w:rFonts w:eastAsia="+mn-ea"/>
          <w:kern w:val="24"/>
          <w:szCs w:val="22"/>
        </w:rPr>
      </w:pPr>
    </w:p>
    <w:p w:rsidR="00685C25" w:rsidRDefault="00685C25" w:rsidP="00685C25">
      <w:pPr>
        <w:spacing w:after="0" w:line="240" w:lineRule="auto"/>
        <w:rPr>
          <w:rFonts w:ascii="Arial" w:eastAsia="+mn-ea" w:hAnsi="Arial" w:cs="Arial"/>
          <w:b/>
          <w:bCs/>
          <w:color w:val="BB1F53"/>
          <w:kern w:val="24"/>
        </w:rPr>
      </w:pPr>
      <w:r w:rsidRPr="00852A48">
        <w:rPr>
          <w:rFonts w:ascii="Arial" w:eastAsia="+mn-ea" w:hAnsi="Arial" w:cs="Arial"/>
          <w:b/>
          <w:bCs/>
          <w:color w:val="BB1F53"/>
          <w:kern w:val="24"/>
        </w:rPr>
        <w:t>Disclaimer</w:t>
      </w:r>
    </w:p>
    <w:p w:rsidR="00AD1790" w:rsidRPr="00852A48" w:rsidRDefault="00AD1790" w:rsidP="00685C25">
      <w:pPr>
        <w:spacing w:after="0" w:line="240" w:lineRule="auto"/>
        <w:rPr>
          <w:rFonts w:ascii="Arial" w:eastAsia="+mn-ea" w:hAnsi="Arial" w:cs="Arial"/>
          <w:b/>
          <w:bCs/>
          <w:color w:val="BB1F53"/>
          <w:kern w:val="24"/>
        </w:rPr>
      </w:pPr>
    </w:p>
    <w:p w:rsidR="00685C25" w:rsidRPr="00852A48" w:rsidRDefault="00685C25" w:rsidP="00685C25">
      <w:pPr>
        <w:spacing w:after="0" w:line="240" w:lineRule="auto"/>
        <w:jc w:val="both"/>
        <w:rPr>
          <w:rFonts w:ascii="Arial" w:eastAsia="Times New Roman" w:hAnsi="Arial" w:cs="Arial"/>
        </w:rPr>
      </w:pPr>
      <w:r w:rsidRPr="00852A48">
        <w:rPr>
          <w:rFonts w:ascii="Arial" w:eastAsia="Times New Roman" w:hAnsi="Arial" w:cs="Arial"/>
        </w:rPr>
        <w:t>This policy is based on Greater Nebraska’s reading of the applicable statutes, regulations, rules and guidance released by the U.S. Gove</w:t>
      </w:r>
      <w:r w:rsidR="001B7835" w:rsidRPr="00852A48">
        <w:rPr>
          <w:rFonts w:ascii="Arial" w:eastAsia="Times New Roman" w:hAnsi="Arial" w:cs="Arial"/>
        </w:rPr>
        <w:t>rnment and the State of Nebraska</w:t>
      </w:r>
      <w:r w:rsidRPr="00852A48">
        <w:rPr>
          <w:rFonts w:ascii="Arial" w:eastAsia="Times New Roman" w:hAnsi="Arial" w:cs="Arial"/>
        </w:rPr>
        <w:t>.  This policy is subject to change as revised or additional statutes, regulations, rules and guidance are issued.</w:t>
      </w:r>
    </w:p>
    <w:p w:rsidR="00DC0DE9" w:rsidRPr="00852A48" w:rsidRDefault="00DC0DE9" w:rsidP="00685C25">
      <w:pPr>
        <w:spacing w:after="0" w:line="240" w:lineRule="auto"/>
        <w:jc w:val="both"/>
        <w:rPr>
          <w:rFonts w:ascii="Arial" w:eastAsia="Times New Roman" w:hAnsi="Arial" w:cs="Arial"/>
        </w:rPr>
      </w:pPr>
    </w:p>
    <w:p w:rsidR="00DC0DE9" w:rsidRPr="00852A48" w:rsidRDefault="00DC0DE9" w:rsidP="00DC0DE9">
      <w:pPr>
        <w:spacing w:after="0" w:line="240" w:lineRule="auto"/>
        <w:jc w:val="both"/>
        <w:rPr>
          <w:rFonts w:ascii="Arial" w:eastAsia="Times New Roman" w:hAnsi="Arial" w:cs="Arial"/>
        </w:rPr>
      </w:pPr>
    </w:p>
    <w:sectPr w:rsidR="00DC0DE9" w:rsidRPr="00852A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E9" w:rsidRDefault="00B858E9" w:rsidP="00E54BD1">
      <w:pPr>
        <w:spacing w:after="0" w:line="240" w:lineRule="auto"/>
      </w:pPr>
      <w:r>
        <w:separator/>
      </w:r>
    </w:p>
  </w:endnote>
  <w:endnote w:type="continuationSeparator" w:id="0">
    <w:p w:rsidR="00B858E9" w:rsidRDefault="00B858E9"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4C2640">
              <w:rPr>
                <w:b/>
                <w:bCs/>
                <w:noProof/>
                <w:sz w:val="20"/>
                <w:szCs w:val="20"/>
              </w:rPr>
              <w:t>1</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4C2640">
              <w:rPr>
                <w:b/>
                <w:bCs/>
                <w:noProof/>
                <w:sz w:val="20"/>
                <w:szCs w:val="20"/>
              </w:rPr>
              <w:t>5</w:t>
            </w:r>
            <w:r w:rsidRPr="009D2F91">
              <w:rPr>
                <w:b/>
                <w:bCs/>
                <w:sz w:val="20"/>
                <w:szCs w:val="20"/>
              </w:rPr>
              <w:fldChar w:fldCharType="end"/>
            </w:r>
          </w:p>
        </w:sdtContent>
      </w:sdt>
    </w:sdtContent>
  </w:sdt>
  <w:p w:rsidR="009D2F91" w:rsidRDefault="00657831">
    <w:pPr>
      <w:pStyle w:val="Footer"/>
    </w:pPr>
    <w:r>
      <w:rPr>
        <w:noProof/>
        <w:color w:val="1F497D"/>
      </w:rPr>
      <w:drawing>
        <wp:anchor distT="0" distB="0" distL="114300" distR="114300" simplePos="0" relativeHeight="251661312" behindDoc="1" locked="0" layoutInCell="1" allowOverlap="1" wp14:anchorId="109431BA" wp14:editId="20445D80">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E9" w:rsidRDefault="00B858E9" w:rsidP="00E54BD1">
      <w:pPr>
        <w:spacing w:after="0" w:line="240" w:lineRule="auto"/>
      </w:pPr>
      <w:r>
        <w:separator/>
      </w:r>
    </w:p>
  </w:footnote>
  <w:footnote w:type="continuationSeparator" w:id="0">
    <w:p w:rsidR="00B858E9" w:rsidRDefault="00B858E9" w:rsidP="00E5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D1" w:rsidRDefault="00E81451">
    <w:pPr>
      <w:pStyle w:val="Header"/>
    </w:pPr>
    <w:r w:rsidRPr="00864E12">
      <w:rPr>
        <w:rFonts w:ascii="Arial" w:hAnsi="Arial" w:cs="Arial"/>
        <w:noProof/>
        <w:sz w:val="24"/>
      </w:rPr>
      <w:drawing>
        <wp:anchor distT="0" distB="0" distL="114300" distR="114300" simplePos="0" relativeHeight="251659264" behindDoc="1" locked="0" layoutInCell="1" allowOverlap="1" wp14:anchorId="64A4D373" wp14:editId="2250CB4E">
          <wp:simplePos x="0" y="0"/>
          <wp:positionH relativeFrom="margin">
            <wp:align>center</wp:align>
          </wp:positionH>
          <wp:positionV relativeFrom="paragraph">
            <wp:posOffset>-457200</wp:posOffset>
          </wp:positionV>
          <wp:extent cx="531922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9227"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4BD1" w:rsidRPr="00E54BD1" w:rsidRDefault="00E54BD1" w:rsidP="00E54BD1">
    <w:pPr>
      <w:pStyle w:val="Header"/>
      <w:ind w:right="-18"/>
      <w:rPr>
        <w:rFonts w:cs="Arial"/>
        <w:b/>
      </w:rPr>
    </w:pPr>
    <w:r w:rsidRPr="00E54BD1">
      <w:rPr>
        <w:rFonts w:cs="Arial"/>
        <w:b/>
      </w:rPr>
      <w:tab/>
      <w:t xml:space="preserve">                                       </w:t>
    </w:r>
  </w:p>
  <w:p w:rsidR="00E81451" w:rsidRPr="0051088F" w:rsidRDefault="00E81451" w:rsidP="00E8145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rsidR="00685C25" w:rsidRDefault="0068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BD8"/>
    <w:multiLevelType w:val="hybridMultilevel"/>
    <w:tmpl w:val="AE1C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A2A4A"/>
    <w:multiLevelType w:val="hybridMultilevel"/>
    <w:tmpl w:val="207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C348F"/>
    <w:multiLevelType w:val="hybridMultilevel"/>
    <w:tmpl w:val="05F01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B4C1D"/>
    <w:multiLevelType w:val="hybridMultilevel"/>
    <w:tmpl w:val="70000B7A"/>
    <w:lvl w:ilvl="0" w:tplc="CF1A90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D2EB2"/>
    <w:multiLevelType w:val="hybridMultilevel"/>
    <w:tmpl w:val="5B067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A61B2"/>
    <w:multiLevelType w:val="hybridMultilevel"/>
    <w:tmpl w:val="5832DA0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C64FB"/>
    <w:multiLevelType w:val="hybridMultilevel"/>
    <w:tmpl w:val="98A8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A0EDA"/>
    <w:multiLevelType w:val="hybridMultilevel"/>
    <w:tmpl w:val="D61C9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E7253"/>
    <w:multiLevelType w:val="hybridMultilevel"/>
    <w:tmpl w:val="672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A31DC"/>
    <w:multiLevelType w:val="hybridMultilevel"/>
    <w:tmpl w:val="0988EB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66FD0"/>
    <w:multiLevelType w:val="hybridMultilevel"/>
    <w:tmpl w:val="82964D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E9700E"/>
    <w:multiLevelType w:val="hybridMultilevel"/>
    <w:tmpl w:val="13F8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D5590"/>
    <w:multiLevelType w:val="hybridMultilevel"/>
    <w:tmpl w:val="9F8AE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0135A6"/>
    <w:multiLevelType w:val="hybridMultilevel"/>
    <w:tmpl w:val="C51A1858"/>
    <w:lvl w:ilvl="0" w:tplc="4A8432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C17D0"/>
    <w:multiLevelType w:val="hybridMultilevel"/>
    <w:tmpl w:val="ADC269E6"/>
    <w:lvl w:ilvl="0" w:tplc="0409001B">
      <w:start w:val="1"/>
      <w:numFmt w:val="lowerRoman"/>
      <w:lvlText w:val="%1."/>
      <w:lvlJc w:val="right"/>
      <w:pPr>
        <w:ind w:left="720" w:hanging="360"/>
      </w:pPr>
    </w:lvl>
    <w:lvl w:ilvl="1" w:tplc="35BCFE8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74AC7"/>
    <w:multiLevelType w:val="hybridMultilevel"/>
    <w:tmpl w:val="D7F4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604BE"/>
    <w:multiLevelType w:val="hybridMultilevel"/>
    <w:tmpl w:val="23A6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A1328"/>
    <w:multiLevelType w:val="hybridMultilevel"/>
    <w:tmpl w:val="1EF86CBC"/>
    <w:lvl w:ilvl="0" w:tplc="4A8432DA">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F211F3"/>
    <w:multiLevelType w:val="hybridMultilevel"/>
    <w:tmpl w:val="B284FB0E"/>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11C8D"/>
    <w:multiLevelType w:val="hybridMultilevel"/>
    <w:tmpl w:val="2772BB7A"/>
    <w:lvl w:ilvl="0" w:tplc="6C1AA538">
      <w:start w:val="1"/>
      <w:numFmt w:val="upperLetter"/>
      <w:lvlText w:val="%1."/>
      <w:lvlJc w:val="left"/>
      <w:pPr>
        <w:ind w:left="720" w:hanging="360"/>
      </w:pPr>
      <w:rPr>
        <w:rFonts w:hint="default"/>
      </w:rPr>
    </w:lvl>
    <w:lvl w:ilvl="1" w:tplc="E47C285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4331A"/>
    <w:multiLevelType w:val="hybridMultilevel"/>
    <w:tmpl w:val="73866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4158C"/>
    <w:multiLevelType w:val="hybridMultilevel"/>
    <w:tmpl w:val="A3C668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6C1440"/>
    <w:multiLevelType w:val="hybridMultilevel"/>
    <w:tmpl w:val="442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46C9F"/>
    <w:multiLevelType w:val="hybridMultilevel"/>
    <w:tmpl w:val="B4220C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4"/>
  </w:num>
  <w:num w:numId="3">
    <w:abstractNumId w:val="19"/>
  </w:num>
  <w:num w:numId="4">
    <w:abstractNumId w:val="14"/>
  </w:num>
  <w:num w:numId="5">
    <w:abstractNumId w:val="9"/>
  </w:num>
  <w:num w:numId="6">
    <w:abstractNumId w:val="21"/>
  </w:num>
  <w:num w:numId="7">
    <w:abstractNumId w:val="5"/>
  </w:num>
  <w:num w:numId="8">
    <w:abstractNumId w:val="17"/>
  </w:num>
  <w:num w:numId="9">
    <w:abstractNumId w:val="3"/>
  </w:num>
  <w:num w:numId="10">
    <w:abstractNumId w:val="18"/>
  </w:num>
  <w:num w:numId="11">
    <w:abstractNumId w:val="23"/>
  </w:num>
  <w:num w:numId="12">
    <w:abstractNumId w:val="12"/>
  </w:num>
  <w:num w:numId="13">
    <w:abstractNumId w:val="10"/>
  </w:num>
  <w:num w:numId="14">
    <w:abstractNumId w:val="15"/>
  </w:num>
  <w:num w:numId="15">
    <w:abstractNumId w:val="16"/>
  </w:num>
  <w:num w:numId="16">
    <w:abstractNumId w:val="7"/>
  </w:num>
  <w:num w:numId="17">
    <w:abstractNumId w:val="20"/>
  </w:num>
  <w:num w:numId="18">
    <w:abstractNumId w:val="8"/>
  </w:num>
  <w:num w:numId="19">
    <w:abstractNumId w:val="2"/>
  </w:num>
  <w:num w:numId="20">
    <w:abstractNumId w:val="22"/>
  </w:num>
  <w:num w:numId="21">
    <w:abstractNumId w:val="11"/>
  </w:num>
  <w:num w:numId="22">
    <w:abstractNumId w:val="6"/>
  </w:num>
  <w:num w:numId="23">
    <w:abstractNumId w:val="1"/>
  </w:num>
  <w:num w:numId="2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133C"/>
    <w:rsid w:val="00003CFD"/>
    <w:rsid w:val="00022F04"/>
    <w:rsid w:val="000260C6"/>
    <w:rsid w:val="000275A0"/>
    <w:rsid w:val="00042EC3"/>
    <w:rsid w:val="000433EE"/>
    <w:rsid w:val="00044888"/>
    <w:rsid w:val="00045ECF"/>
    <w:rsid w:val="00055320"/>
    <w:rsid w:val="0006267B"/>
    <w:rsid w:val="00081411"/>
    <w:rsid w:val="00090C74"/>
    <w:rsid w:val="000969A3"/>
    <w:rsid w:val="000C4C60"/>
    <w:rsid w:val="000C6D9D"/>
    <w:rsid w:val="000D04C8"/>
    <w:rsid w:val="000D52AC"/>
    <w:rsid w:val="000D569B"/>
    <w:rsid w:val="000F2A2C"/>
    <w:rsid w:val="001024BD"/>
    <w:rsid w:val="00104B5E"/>
    <w:rsid w:val="001056AC"/>
    <w:rsid w:val="001071AC"/>
    <w:rsid w:val="00110E90"/>
    <w:rsid w:val="001215D7"/>
    <w:rsid w:val="00123E96"/>
    <w:rsid w:val="00125C1A"/>
    <w:rsid w:val="00131C86"/>
    <w:rsid w:val="0014186A"/>
    <w:rsid w:val="00143EAC"/>
    <w:rsid w:val="001511F9"/>
    <w:rsid w:val="00163DD9"/>
    <w:rsid w:val="001657D1"/>
    <w:rsid w:val="00170CCB"/>
    <w:rsid w:val="00174B23"/>
    <w:rsid w:val="00176DC4"/>
    <w:rsid w:val="001812AD"/>
    <w:rsid w:val="00182598"/>
    <w:rsid w:val="00183C71"/>
    <w:rsid w:val="0018509E"/>
    <w:rsid w:val="0019518B"/>
    <w:rsid w:val="001A19DD"/>
    <w:rsid w:val="001A6CBC"/>
    <w:rsid w:val="001B60C8"/>
    <w:rsid w:val="001B7835"/>
    <w:rsid w:val="001D1593"/>
    <w:rsid w:val="001D3520"/>
    <w:rsid w:val="001D3870"/>
    <w:rsid w:val="00200030"/>
    <w:rsid w:val="00200A1F"/>
    <w:rsid w:val="002118AE"/>
    <w:rsid w:val="002216F2"/>
    <w:rsid w:val="00221827"/>
    <w:rsid w:val="002220B2"/>
    <w:rsid w:val="00225E52"/>
    <w:rsid w:val="00234311"/>
    <w:rsid w:val="00237419"/>
    <w:rsid w:val="002410E8"/>
    <w:rsid w:val="00244DDC"/>
    <w:rsid w:val="002470A1"/>
    <w:rsid w:val="00251BB6"/>
    <w:rsid w:val="00271DC0"/>
    <w:rsid w:val="00272E69"/>
    <w:rsid w:val="0027522D"/>
    <w:rsid w:val="00295D98"/>
    <w:rsid w:val="002B3924"/>
    <w:rsid w:val="002D5376"/>
    <w:rsid w:val="002E0DC3"/>
    <w:rsid w:val="003226CB"/>
    <w:rsid w:val="0033787D"/>
    <w:rsid w:val="003524CC"/>
    <w:rsid w:val="0037498D"/>
    <w:rsid w:val="00375A3D"/>
    <w:rsid w:val="0038507F"/>
    <w:rsid w:val="00386BF1"/>
    <w:rsid w:val="0039572C"/>
    <w:rsid w:val="003B0DB5"/>
    <w:rsid w:val="003B1456"/>
    <w:rsid w:val="003B3F46"/>
    <w:rsid w:val="003B7519"/>
    <w:rsid w:val="003C1017"/>
    <w:rsid w:val="003C7F56"/>
    <w:rsid w:val="003D393A"/>
    <w:rsid w:val="003D630C"/>
    <w:rsid w:val="003D633E"/>
    <w:rsid w:val="003E1C01"/>
    <w:rsid w:val="003E50C5"/>
    <w:rsid w:val="00401BDD"/>
    <w:rsid w:val="00401EEB"/>
    <w:rsid w:val="00403E23"/>
    <w:rsid w:val="00403ED0"/>
    <w:rsid w:val="00406EB8"/>
    <w:rsid w:val="00407FFC"/>
    <w:rsid w:val="00414652"/>
    <w:rsid w:val="004201F7"/>
    <w:rsid w:val="00426FC8"/>
    <w:rsid w:val="00432EA0"/>
    <w:rsid w:val="004340F2"/>
    <w:rsid w:val="00445104"/>
    <w:rsid w:val="00453D9C"/>
    <w:rsid w:val="00457EDB"/>
    <w:rsid w:val="004761E2"/>
    <w:rsid w:val="00483896"/>
    <w:rsid w:val="004924F6"/>
    <w:rsid w:val="004A17AF"/>
    <w:rsid w:val="004B13F9"/>
    <w:rsid w:val="004B2C2B"/>
    <w:rsid w:val="004B45DA"/>
    <w:rsid w:val="004C2640"/>
    <w:rsid w:val="004C3629"/>
    <w:rsid w:val="004E6503"/>
    <w:rsid w:val="004E704B"/>
    <w:rsid w:val="004F2140"/>
    <w:rsid w:val="00505BA9"/>
    <w:rsid w:val="00507A57"/>
    <w:rsid w:val="00533E4B"/>
    <w:rsid w:val="005361EC"/>
    <w:rsid w:val="00540A99"/>
    <w:rsid w:val="00567D15"/>
    <w:rsid w:val="005861A0"/>
    <w:rsid w:val="005B075B"/>
    <w:rsid w:val="005B0793"/>
    <w:rsid w:val="005B3B52"/>
    <w:rsid w:val="005D3C02"/>
    <w:rsid w:val="005D78CD"/>
    <w:rsid w:val="005E482B"/>
    <w:rsid w:val="005E5B0E"/>
    <w:rsid w:val="005F0C16"/>
    <w:rsid w:val="005F379F"/>
    <w:rsid w:val="00616B4D"/>
    <w:rsid w:val="00623F50"/>
    <w:rsid w:val="00637BCF"/>
    <w:rsid w:val="006502DF"/>
    <w:rsid w:val="0065267E"/>
    <w:rsid w:val="00654DF4"/>
    <w:rsid w:val="00657831"/>
    <w:rsid w:val="006706FA"/>
    <w:rsid w:val="00673781"/>
    <w:rsid w:val="00674612"/>
    <w:rsid w:val="00685C25"/>
    <w:rsid w:val="006A1ED0"/>
    <w:rsid w:val="006A45A1"/>
    <w:rsid w:val="006A58B1"/>
    <w:rsid w:val="006B55DB"/>
    <w:rsid w:val="006C3F79"/>
    <w:rsid w:val="006C47B6"/>
    <w:rsid w:val="006C784E"/>
    <w:rsid w:val="006E6722"/>
    <w:rsid w:val="006E692B"/>
    <w:rsid w:val="006F2509"/>
    <w:rsid w:val="00716D4E"/>
    <w:rsid w:val="0072264E"/>
    <w:rsid w:val="00723BC7"/>
    <w:rsid w:val="00735649"/>
    <w:rsid w:val="00737325"/>
    <w:rsid w:val="0073736B"/>
    <w:rsid w:val="007402F4"/>
    <w:rsid w:val="00741CBC"/>
    <w:rsid w:val="00750CEC"/>
    <w:rsid w:val="007634C3"/>
    <w:rsid w:val="00765B53"/>
    <w:rsid w:val="007737BB"/>
    <w:rsid w:val="007746C0"/>
    <w:rsid w:val="00793945"/>
    <w:rsid w:val="00795D88"/>
    <w:rsid w:val="007A6585"/>
    <w:rsid w:val="007B3CD3"/>
    <w:rsid w:val="007B55CB"/>
    <w:rsid w:val="007D4F4E"/>
    <w:rsid w:val="007D6F57"/>
    <w:rsid w:val="007E1897"/>
    <w:rsid w:val="007E34DB"/>
    <w:rsid w:val="007E3FA4"/>
    <w:rsid w:val="007F1B37"/>
    <w:rsid w:val="007F2DE2"/>
    <w:rsid w:val="0080664C"/>
    <w:rsid w:val="008137B6"/>
    <w:rsid w:val="0082622F"/>
    <w:rsid w:val="00834E84"/>
    <w:rsid w:val="00843F9D"/>
    <w:rsid w:val="00844B97"/>
    <w:rsid w:val="00847C44"/>
    <w:rsid w:val="00852A48"/>
    <w:rsid w:val="008606DF"/>
    <w:rsid w:val="00865701"/>
    <w:rsid w:val="00865F3E"/>
    <w:rsid w:val="008747BA"/>
    <w:rsid w:val="0087498C"/>
    <w:rsid w:val="00883C5D"/>
    <w:rsid w:val="008842CF"/>
    <w:rsid w:val="00895F9C"/>
    <w:rsid w:val="008B64E8"/>
    <w:rsid w:val="008C571B"/>
    <w:rsid w:val="008F7CD4"/>
    <w:rsid w:val="0091211B"/>
    <w:rsid w:val="009206B3"/>
    <w:rsid w:val="00922337"/>
    <w:rsid w:val="009231B2"/>
    <w:rsid w:val="00930CD9"/>
    <w:rsid w:val="00950202"/>
    <w:rsid w:val="0095662E"/>
    <w:rsid w:val="00956B0E"/>
    <w:rsid w:val="0098020E"/>
    <w:rsid w:val="00986E39"/>
    <w:rsid w:val="009B11BA"/>
    <w:rsid w:val="009B3DF2"/>
    <w:rsid w:val="009C5549"/>
    <w:rsid w:val="009D2F91"/>
    <w:rsid w:val="009E5E0D"/>
    <w:rsid w:val="009F5575"/>
    <w:rsid w:val="00A1596E"/>
    <w:rsid w:val="00A21065"/>
    <w:rsid w:val="00A52752"/>
    <w:rsid w:val="00A6073D"/>
    <w:rsid w:val="00A61D5F"/>
    <w:rsid w:val="00A62DE8"/>
    <w:rsid w:val="00A65917"/>
    <w:rsid w:val="00A728CC"/>
    <w:rsid w:val="00A8256B"/>
    <w:rsid w:val="00A906AE"/>
    <w:rsid w:val="00A93C42"/>
    <w:rsid w:val="00AA1213"/>
    <w:rsid w:val="00AB3F51"/>
    <w:rsid w:val="00AC38D8"/>
    <w:rsid w:val="00AD1790"/>
    <w:rsid w:val="00AD4B6F"/>
    <w:rsid w:val="00AD709F"/>
    <w:rsid w:val="00AE563C"/>
    <w:rsid w:val="00AE5F04"/>
    <w:rsid w:val="00B10132"/>
    <w:rsid w:val="00B13F81"/>
    <w:rsid w:val="00B16D34"/>
    <w:rsid w:val="00B17D4B"/>
    <w:rsid w:val="00B22ED9"/>
    <w:rsid w:val="00B44B60"/>
    <w:rsid w:val="00B57FD7"/>
    <w:rsid w:val="00B64B48"/>
    <w:rsid w:val="00B703D2"/>
    <w:rsid w:val="00B75FE0"/>
    <w:rsid w:val="00B858E9"/>
    <w:rsid w:val="00B86E64"/>
    <w:rsid w:val="00B904CE"/>
    <w:rsid w:val="00B94F97"/>
    <w:rsid w:val="00BB3D35"/>
    <w:rsid w:val="00BB6ABA"/>
    <w:rsid w:val="00BC1A3D"/>
    <w:rsid w:val="00BC424B"/>
    <w:rsid w:val="00BC49AC"/>
    <w:rsid w:val="00BC7F18"/>
    <w:rsid w:val="00BD4400"/>
    <w:rsid w:val="00BD71F9"/>
    <w:rsid w:val="00BE7F01"/>
    <w:rsid w:val="00C02217"/>
    <w:rsid w:val="00C06578"/>
    <w:rsid w:val="00C2545E"/>
    <w:rsid w:val="00C31FDF"/>
    <w:rsid w:val="00C35E84"/>
    <w:rsid w:val="00C37602"/>
    <w:rsid w:val="00C4361F"/>
    <w:rsid w:val="00C44891"/>
    <w:rsid w:val="00C46831"/>
    <w:rsid w:val="00C562FB"/>
    <w:rsid w:val="00C6448B"/>
    <w:rsid w:val="00C71669"/>
    <w:rsid w:val="00C8309D"/>
    <w:rsid w:val="00C846CB"/>
    <w:rsid w:val="00C94BE7"/>
    <w:rsid w:val="00CA6247"/>
    <w:rsid w:val="00CB239F"/>
    <w:rsid w:val="00CB635D"/>
    <w:rsid w:val="00CB74EE"/>
    <w:rsid w:val="00CC5510"/>
    <w:rsid w:val="00CD5C86"/>
    <w:rsid w:val="00CD6610"/>
    <w:rsid w:val="00CE70B7"/>
    <w:rsid w:val="00D119EC"/>
    <w:rsid w:val="00D16890"/>
    <w:rsid w:val="00D23D8A"/>
    <w:rsid w:val="00D251BF"/>
    <w:rsid w:val="00D3532F"/>
    <w:rsid w:val="00D36ACF"/>
    <w:rsid w:val="00D37224"/>
    <w:rsid w:val="00D555AD"/>
    <w:rsid w:val="00D66E12"/>
    <w:rsid w:val="00D75712"/>
    <w:rsid w:val="00D94210"/>
    <w:rsid w:val="00D95D82"/>
    <w:rsid w:val="00DA155F"/>
    <w:rsid w:val="00DA4049"/>
    <w:rsid w:val="00DC0DE9"/>
    <w:rsid w:val="00DC4B70"/>
    <w:rsid w:val="00DD3D4C"/>
    <w:rsid w:val="00DD5D07"/>
    <w:rsid w:val="00DE3880"/>
    <w:rsid w:val="00DE4042"/>
    <w:rsid w:val="00DF347A"/>
    <w:rsid w:val="00E124F8"/>
    <w:rsid w:val="00E36755"/>
    <w:rsid w:val="00E421D9"/>
    <w:rsid w:val="00E42B5B"/>
    <w:rsid w:val="00E53209"/>
    <w:rsid w:val="00E54BD1"/>
    <w:rsid w:val="00E6169E"/>
    <w:rsid w:val="00E66815"/>
    <w:rsid w:val="00E7364D"/>
    <w:rsid w:val="00E7754D"/>
    <w:rsid w:val="00E81451"/>
    <w:rsid w:val="00E84ACF"/>
    <w:rsid w:val="00EA508E"/>
    <w:rsid w:val="00EA5114"/>
    <w:rsid w:val="00EA6AFA"/>
    <w:rsid w:val="00EB3645"/>
    <w:rsid w:val="00EC055E"/>
    <w:rsid w:val="00ED3E98"/>
    <w:rsid w:val="00EF2609"/>
    <w:rsid w:val="00EF32F0"/>
    <w:rsid w:val="00EF5112"/>
    <w:rsid w:val="00F23B38"/>
    <w:rsid w:val="00F334B6"/>
    <w:rsid w:val="00F528B1"/>
    <w:rsid w:val="00F574DA"/>
    <w:rsid w:val="00F6054E"/>
    <w:rsid w:val="00F65553"/>
    <w:rsid w:val="00FA6646"/>
    <w:rsid w:val="00FC3B9F"/>
    <w:rsid w:val="00FC4C48"/>
    <w:rsid w:val="00FD6210"/>
    <w:rsid w:val="00FE074E"/>
    <w:rsid w:val="00FE432E"/>
    <w:rsid w:val="00FE53EE"/>
    <w:rsid w:val="00FF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24A7FBF-806C-42A1-B8B4-31284CA0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3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 w:type="table" w:customStyle="1" w:styleId="TableGrid1">
    <w:name w:val="Table Grid1"/>
    <w:basedOn w:val="TableNormal"/>
    <w:next w:val="TableGrid"/>
    <w:uiPriority w:val="39"/>
    <w:rsid w:val="005F0C1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8145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543829568">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E5D9-A79A-4D2C-8841-CB523DFE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FLANAGAN, KELLY N</cp:lastModifiedBy>
  <cp:revision>2</cp:revision>
  <cp:lastPrinted>2018-10-02T15:04:00Z</cp:lastPrinted>
  <dcterms:created xsi:type="dcterms:W3CDTF">2019-10-28T16:19:00Z</dcterms:created>
  <dcterms:modified xsi:type="dcterms:W3CDTF">2019-10-28T16:19:00Z</dcterms:modified>
</cp:coreProperties>
</file>