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Policy No. </w:t>
            </w:r>
          </w:p>
        </w:tc>
        <w:tc>
          <w:tcPr>
            <w:tcW w:w="1795" w:type="dxa"/>
          </w:tcPr>
          <w:p w:rsidR="00E81451" w:rsidRPr="00E81451" w:rsidRDefault="00D31FEC" w:rsidP="00E81451">
            <w:pPr>
              <w:rPr>
                <w:rFonts w:ascii="Arial" w:eastAsia="Calibri" w:hAnsi="Arial" w:cs="Arial"/>
                <w:sz w:val="72"/>
                <w:szCs w:val="72"/>
              </w:rPr>
            </w:pPr>
            <w:r>
              <w:rPr>
                <w:rFonts w:ascii="Montserrat-Bold" w:eastAsia="Calibri" w:hAnsi="Montserrat-Bold" w:cs="Montserrat-Bold"/>
                <w:b/>
                <w:bCs/>
                <w:color w:val="BB1F53"/>
                <w:sz w:val="72"/>
                <w:szCs w:val="72"/>
              </w:rPr>
              <w:t>19</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rsidR="00E81451" w:rsidRPr="00E81451" w:rsidRDefault="00861EDF" w:rsidP="00E81451">
            <w:pPr>
              <w:rPr>
                <w:rFonts w:ascii="Arial" w:eastAsia="Calibri" w:hAnsi="Arial" w:cs="Arial"/>
                <w:sz w:val="20"/>
                <w:szCs w:val="20"/>
              </w:rPr>
            </w:pPr>
            <w:r>
              <w:rPr>
                <w:rFonts w:ascii="Arial" w:eastAsia="Calibri" w:hAnsi="Arial" w:cs="Arial"/>
                <w:sz w:val="20"/>
                <w:szCs w:val="20"/>
              </w:rPr>
              <w:t>5/23</w:t>
            </w:r>
            <w:r w:rsidR="00FE432E">
              <w:rPr>
                <w:rFonts w:ascii="Arial" w:eastAsia="Calibri" w:hAnsi="Arial" w:cs="Arial"/>
                <w:sz w:val="20"/>
                <w:szCs w:val="20"/>
              </w:rPr>
              <w:t>/2019</w:t>
            </w:r>
          </w:p>
        </w:tc>
      </w:tr>
      <w:tr w:rsidR="00E81451" w:rsidRPr="00E81451" w:rsidTr="00E81451">
        <w:tc>
          <w:tcPr>
            <w:tcW w:w="1620"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rsidR="00E81451" w:rsidRPr="007C7628" w:rsidRDefault="00861EDF" w:rsidP="00E81451">
      <w:pPr>
        <w:rPr>
          <w:rFonts w:ascii="Arial" w:hAnsi="Arial" w:cs="Arial"/>
          <w:b/>
          <w:bCs/>
          <w:color w:val="00607F"/>
          <w:sz w:val="56"/>
          <w:szCs w:val="56"/>
        </w:rPr>
      </w:pPr>
      <w:r w:rsidRPr="007C7628">
        <w:rPr>
          <w:rFonts w:ascii="Arial" w:hAnsi="Arial" w:cs="Arial"/>
          <w:b/>
          <w:bCs/>
          <w:color w:val="00607F"/>
          <w:sz w:val="56"/>
          <w:szCs w:val="56"/>
        </w:rPr>
        <w:t>Transitional Jobs</w:t>
      </w:r>
      <w:r w:rsidR="007B45E5" w:rsidRPr="007C7628">
        <w:rPr>
          <w:rFonts w:ascii="Arial" w:hAnsi="Arial" w:cs="Arial"/>
          <w:b/>
          <w:bCs/>
          <w:color w:val="00607F"/>
          <w:sz w:val="56"/>
          <w:szCs w:val="56"/>
        </w:rPr>
        <w:t xml:space="preserve"> </w:t>
      </w:r>
      <w:r w:rsidR="00E81451" w:rsidRPr="007C7628">
        <w:rPr>
          <w:rFonts w:ascii="Arial" w:hAnsi="Arial" w:cs="Arial"/>
          <w:b/>
          <w:bCs/>
          <w:color w:val="00607F"/>
          <w:sz w:val="56"/>
          <w:szCs w:val="56"/>
        </w:rPr>
        <w:t xml:space="preserve"> </w:t>
      </w:r>
    </w:p>
    <w:p w:rsidR="00E81451" w:rsidRDefault="00E81451" w:rsidP="00685C25">
      <w:pPr>
        <w:spacing w:after="0" w:line="240" w:lineRule="auto"/>
        <w:rPr>
          <w:rFonts w:eastAsia="Times New Roman" w:cs="Times New Roman"/>
          <w:b/>
          <w:u w:val="single"/>
        </w:rPr>
      </w:pPr>
    </w:p>
    <w:p w:rsidR="007B45E5" w:rsidRDefault="007B45E5" w:rsidP="00685C25">
      <w:pPr>
        <w:spacing w:after="0" w:line="240" w:lineRule="auto"/>
        <w:rPr>
          <w:rFonts w:eastAsia="Times New Roman" w:cs="Times New Roman"/>
          <w:b/>
          <w:u w:val="single"/>
        </w:rPr>
      </w:pPr>
    </w:p>
    <w:p w:rsidR="007B45E5" w:rsidRDefault="007B45E5" w:rsidP="00685C25">
      <w:pPr>
        <w:spacing w:after="0" w:line="240" w:lineRule="auto"/>
        <w:rPr>
          <w:rFonts w:eastAsia="Times New Roman" w:cs="Times New Roman"/>
          <w:b/>
          <w:u w:val="single"/>
        </w:rPr>
      </w:pPr>
    </w:p>
    <w:p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rsidR="006C784E" w:rsidRPr="00045ECF" w:rsidRDefault="006C784E" w:rsidP="00E124F8">
      <w:pPr>
        <w:spacing w:after="0" w:line="240" w:lineRule="auto"/>
        <w:jc w:val="both"/>
      </w:pPr>
      <w:r w:rsidRPr="00861EDF">
        <w:t>Workforce Innovation and Opportun</w:t>
      </w:r>
      <w:r w:rsidR="00723BC7" w:rsidRPr="00861EDF">
        <w:t xml:space="preserve">ity Act (WIOA) </w:t>
      </w:r>
      <w:r w:rsidRPr="00747AA2">
        <w:t xml:space="preserve">134; </w:t>
      </w:r>
      <w:r w:rsidR="008747BA" w:rsidRPr="00747AA2">
        <w:t xml:space="preserve">20 CFR </w:t>
      </w:r>
      <w:r w:rsidR="00861EDF" w:rsidRPr="00747AA2">
        <w:t>§§ 680.180-680.195</w:t>
      </w:r>
      <w:r w:rsidRPr="00747AA2">
        <w:t xml:space="preserve">; </w:t>
      </w:r>
      <w:r w:rsidR="00045ECF" w:rsidRPr="00747AA2">
        <w:t>TEGL 19-16</w:t>
      </w:r>
      <w:r w:rsidRPr="00747AA2">
        <w:t xml:space="preserve">, </w:t>
      </w:r>
      <w:r w:rsidR="002220B2" w:rsidRPr="00747AA2">
        <w:t>Nebraska Department of Labor (N</w:t>
      </w:r>
      <w:r w:rsidR="00747AA2" w:rsidRPr="00747AA2">
        <w:t>DOL) Work-based Training</w:t>
      </w:r>
      <w:r w:rsidR="00FE432E" w:rsidRPr="00747AA2">
        <w:t xml:space="preserve"> </w:t>
      </w:r>
      <w:r w:rsidR="00123E96" w:rsidRPr="00747AA2">
        <w:t>Policy</w:t>
      </w:r>
      <w:r w:rsidR="002220B2" w:rsidRPr="00747AA2">
        <w:t>.</w:t>
      </w:r>
      <w:r w:rsidR="002220B2" w:rsidRPr="00123E96">
        <w:t xml:space="preserve"> </w:t>
      </w:r>
    </w:p>
    <w:p w:rsidR="009E5E0D" w:rsidRPr="0080664C" w:rsidRDefault="009E5E0D" w:rsidP="00E124F8">
      <w:pPr>
        <w:spacing w:after="0" w:line="240" w:lineRule="auto"/>
        <w:jc w:val="both"/>
        <w:rPr>
          <w:rFonts w:eastAsia="Times New Roman" w:cs="Times New Roman"/>
        </w:rPr>
      </w:pPr>
    </w:p>
    <w:p w:rsidR="007402F4" w:rsidRPr="00861EDF" w:rsidRDefault="00685C25" w:rsidP="00861EDF">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r w:rsidR="006502DF">
        <w:rPr>
          <w:rFonts w:cs="Times New Roman"/>
          <w:sz w:val="24"/>
          <w:szCs w:val="24"/>
        </w:rPr>
        <w:t xml:space="preserve"> </w:t>
      </w:r>
    </w:p>
    <w:p w:rsidR="00861EDF" w:rsidRDefault="00861EDF" w:rsidP="007A6585">
      <w:pPr>
        <w:spacing w:after="0" w:line="240" w:lineRule="auto"/>
        <w:jc w:val="both"/>
        <w:rPr>
          <w:rFonts w:cs="Times New Roman"/>
          <w:sz w:val="24"/>
          <w:szCs w:val="24"/>
        </w:rPr>
      </w:pPr>
    </w:p>
    <w:p w:rsidR="00906915" w:rsidRPr="00906915" w:rsidRDefault="00906915" w:rsidP="007A6585">
      <w:pPr>
        <w:spacing w:after="0" w:line="240" w:lineRule="auto"/>
        <w:jc w:val="both"/>
        <w:rPr>
          <w:rFonts w:cs="Times New Roman"/>
          <w:b/>
          <w:color w:val="BB1F53"/>
          <w:sz w:val="24"/>
          <w:szCs w:val="24"/>
        </w:rPr>
      </w:pPr>
      <w:r w:rsidRPr="00906915">
        <w:rPr>
          <w:rFonts w:cs="Times New Roman"/>
          <w:b/>
          <w:color w:val="BB1F53"/>
          <w:sz w:val="24"/>
          <w:szCs w:val="24"/>
        </w:rPr>
        <w:t>Background</w:t>
      </w:r>
    </w:p>
    <w:p w:rsidR="007402F4" w:rsidRDefault="00BB7C12" w:rsidP="007A6585">
      <w:pPr>
        <w:spacing w:after="0" w:line="240" w:lineRule="auto"/>
        <w:jc w:val="both"/>
        <w:rPr>
          <w:rFonts w:cs="Times New Roman"/>
          <w:sz w:val="24"/>
          <w:szCs w:val="24"/>
        </w:rPr>
      </w:pPr>
      <w:r>
        <w:rPr>
          <w:rFonts w:cs="Times New Roman"/>
          <w:sz w:val="24"/>
          <w:szCs w:val="24"/>
        </w:rPr>
        <w:t>The Workforce Innovation and Opportunity Act (WIOA) allows local boards to provide transitional jobs, defined as time-limited work experiences that are wage-paid and subsidized, and are in the public, private, or non-profit sectors for those individuals with barriers to employment who are chronically unemployed or have inconsistent work history</w:t>
      </w:r>
      <w:r w:rsidR="00985756">
        <w:rPr>
          <w:rFonts w:cs="Times New Roman"/>
          <w:sz w:val="24"/>
          <w:szCs w:val="24"/>
        </w:rPr>
        <w:t>, as determined by the board</w:t>
      </w:r>
      <w:r>
        <w:rPr>
          <w:rFonts w:cs="Times New Roman"/>
          <w:sz w:val="24"/>
          <w:szCs w:val="24"/>
        </w:rPr>
        <w:t xml:space="preserve">. </w:t>
      </w:r>
    </w:p>
    <w:p w:rsidR="00985756" w:rsidRDefault="00985756" w:rsidP="001056AC">
      <w:pPr>
        <w:pStyle w:val="Style11"/>
        <w:spacing w:before="0" w:after="0"/>
        <w:jc w:val="both"/>
        <w:rPr>
          <w:rFonts w:ascii="Times New Roman" w:eastAsia="+mn-ea" w:hAnsi="Times New Roman" w:cs="Times New Roman"/>
          <w:b/>
          <w:color w:val="BB1F53"/>
          <w:kern w:val="24"/>
          <w:sz w:val="24"/>
          <w:szCs w:val="24"/>
        </w:rPr>
      </w:pPr>
    </w:p>
    <w:p w:rsidR="00C94BE7" w:rsidRPr="00985756" w:rsidRDefault="00985756" w:rsidP="00985756">
      <w:pPr>
        <w:pStyle w:val="Style11"/>
        <w:spacing w:before="0" w:after="0"/>
        <w:jc w:val="both"/>
        <w:rPr>
          <w:rFonts w:ascii="Times New Roman" w:eastAsia="+mn-ea" w:hAnsi="Times New Roman" w:cs="Times New Roman"/>
          <w:kern w:val="24"/>
          <w:sz w:val="24"/>
          <w:szCs w:val="24"/>
        </w:rPr>
      </w:pPr>
      <w:r w:rsidRPr="00985756">
        <w:rPr>
          <w:rFonts w:ascii="Times New Roman" w:eastAsia="+mn-ea" w:hAnsi="Times New Roman" w:cs="Times New Roman"/>
          <w:kern w:val="24"/>
          <w:sz w:val="24"/>
          <w:szCs w:val="24"/>
        </w:rPr>
        <w:t xml:space="preserve">Transitional jobs must be combined with comprehensive career services and supportive services. </w:t>
      </w:r>
      <w:r w:rsidRPr="00985756">
        <w:rPr>
          <w:rFonts w:ascii="Times New Roman" w:hAnsi="Times New Roman" w:cs="Times New Roman"/>
          <w:sz w:val="24"/>
          <w:szCs w:val="24"/>
        </w:rPr>
        <w:t>These jobs are designed to enable an individual to establish a work history, demonstrate work success in an employee-employer relationship, and develop the skills that lead to unsubsidized employment.</w:t>
      </w:r>
    </w:p>
    <w:p w:rsidR="00834E84" w:rsidRDefault="00834E84" w:rsidP="001056AC">
      <w:pPr>
        <w:pStyle w:val="Style11"/>
        <w:spacing w:before="0" w:after="0"/>
        <w:jc w:val="both"/>
        <w:rPr>
          <w:rFonts w:ascii="Times New Roman" w:eastAsia="+mn-ea" w:hAnsi="Times New Roman" w:cs="Times New Roman"/>
          <w:kern w:val="24"/>
          <w:sz w:val="24"/>
          <w:szCs w:val="24"/>
        </w:rPr>
      </w:pPr>
    </w:p>
    <w:p w:rsidR="00A1596E" w:rsidRDefault="00985756" w:rsidP="001056AC">
      <w:pPr>
        <w:pStyle w:val="Style11"/>
        <w:spacing w:before="0" w:after="0"/>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There is no requirement that the employer retain the individual upon completion of the transitional job; however, retention is preferred for the benefit of the worker and employer when appropriate.</w:t>
      </w:r>
    </w:p>
    <w:p w:rsidR="00B10132" w:rsidRDefault="00B10132" w:rsidP="00B10132">
      <w:pPr>
        <w:spacing w:after="0" w:line="240" w:lineRule="auto"/>
        <w:rPr>
          <w:rFonts w:cs="Times New Roman"/>
          <w:sz w:val="24"/>
          <w:szCs w:val="24"/>
        </w:rPr>
      </w:pPr>
    </w:p>
    <w:p w:rsidR="00985756" w:rsidRDefault="00985756" w:rsidP="00985756">
      <w:pPr>
        <w:pStyle w:val="Style11"/>
        <w:spacing w:before="0" w:after="0"/>
        <w:jc w:val="both"/>
        <w:rPr>
          <w:rFonts w:ascii="Times New Roman" w:eastAsia="+mn-ea" w:hAnsi="Times New Roman" w:cs="Times New Roman"/>
          <w:b/>
          <w:color w:val="BB1F53"/>
          <w:kern w:val="24"/>
          <w:sz w:val="24"/>
          <w:szCs w:val="24"/>
        </w:rPr>
      </w:pPr>
      <w:r>
        <w:rPr>
          <w:rFonts w:ascii="Times New Roman" w:eastAsia="+mn-ea" w:hAnsi="Times New Roman" w:cs="Times New Roman"/>
          <w:b/>
          <w:color w:val="BB1F53"/>
          <w:kern w:val="24"/>
          <w:sz w:val="24"/>
          <w:szCs w:val="24"/>
        </w:rPr>
        <w:t>Funds</w:t>
      </w:r>
    </w:p>
    <w:p w:rsidR="00B10132" w:rsidRDefault="00985756" w:rsidP="00B10132">
      <w:pPr>
        <w:spacing w:after="0" w:line="240" w:lineRule="auto"/>
        <w:rPr>
          <w:rFonts w:eastAsia="+mn-ea" w:cs="Times New Roman"/>
          <w:bCs/>
          <w:kern w:val="24"/>
          <w:sz w:val="24"/>
          <w:szCs w:val="24"/>
        </w:rPr>
      </w:pPr>
      <w:r>
        <w:rPr>
          <w:rFonts w:eastAsia="+mn-ea" w:cs="Times New Roman"/>
          <w:bCs/>
          <w:kern w:val="24"/>
          <w:sz w:val="24"/>
          <w:szCs w:val="24"/>
        </w:rPr>
        <w:t xml:space="preserve">The local area may use up to 10 percent of their combined total of adult and dislocated worker allocations. </w:t>
      </w:r>
    </w:p>
    <w:p w:rsidR="007C7628" w:rsidRDefault="007C7628" w:rsidP="00B10132">
      <w:pPr>
        <w:spacing w:after="0" w:line="240" w:lineRule="auto"/>
        <w:rPr>
          <w:rFonts w:eastAsia="+mn-ea" w:cs="Times New Roman"/>
          <w:bCs/>
          <w:kern w:val="24"/>
          <w:sz w:val="24"/>
          <w:szCs w:val="24"/>
        </w:rPr>
      </w:pPr>
    </w:p>
    <w:p w:rsidR="007C7628" w:rsidRDefault="007C7628" w:rsidP="00B10132">
      <w:pPr>
        <w:spacing w:after="0" w:line="240" w:lineRule="auto"/>
        <w:rPr>
          <w:rFonts w:eastAsia="+mn-ea" w:cs="Times New Roman"/>
          <w:bCs/>
          <w:kern w:val="24"/>
          <w:sz w:val="24"/>
          <w:szCs w:val="24"/>
        </w:rPr>
      </w:pPr>
      <w:r>
        <w:rPr>
          <w:rFonts w:eastAsia="+mn-ea" w:cs="Times New Roman"/>
          <w:bCs/>
          <w:kern w:val="24"/>
          <w:sz w:val="24"/>
          <w:szCs w:val="24"/>
        </w:rPr>
        <w:t>Example: If a local area receives $1.5 million in adult funds and $1.0 million in dislocated worker funds, the local board may use up to $250,000 for transitional jobs.</w:t>
      </w:r>
    </w:p>
    <w:p w:rsidR="00906915" w:rsidRDefault="00906915" w:rsidP="00906915">
      <w:pPr>
        <w:spacing w:after="0" w:line="240" w:lineRule="auto"/>
        <w:rPr>
          <w:rFonts w:eastAsia="+mn-ea" w:cs="Times New Roman"/>
          <w:b/>
          <w:bCs/>
          <w:color w:val="BB1F53"/>
          <w:kern w:val="24"/>
          <w:sz w:val="24"/>
          <w:szCs w:val="24"/>
        </w:rPr>
      </w:pPr>
    </w:p>
    <w:p w:rsidR="00512389" w:rsidRDefault="00512389" w:rsidP="00906915">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Participant Eligibility</w:t>
      </w:r>
    </w:p>
    <w:p w:rsidR="00512389" w:rsidRDefault="00512389" w:rsidP="00906915">
      <w:pPr>
        <w:spacing w:after="0" w:line="240" w:lineRule="auto"/>
        <w:rPr>
          <w:rFonts w:eastAsia="+mn-ea" w:cs="Times New Roman"/>
          <w:bCs/>
          <w:kern w:val="24"/>
          <w:sz w:val="24"/>
          <w:szCs w:val="24"/>
        </w:rPr>
      </w:pPr>
      <w:r>
        <w:rPr>
          <w:rFonts w:eastAsia="+mn-ea" w:cs="Times New Roman"/>
          <w:bCs/>
          <w:kern w:val="24"/>
          <w:sz w:val="24"/>
          <w:szCs w:val="24"/>
        </w:rPr>
        <w:t>In addition to meeting general eligibility requirements for the WIOA program and being unemployed at the date of application to the WIOA program, the participant must also have one or more barriers to employment and be chronically unemployed or have an inconsistent work history. These eligibilit</w:t>
      </w:r>
      <w:r w:rsidR="009D400B">
        <w:rPr>
          <w:rFonts w:eastAsia="+mn-ea" w:cs="Times New Roman"/>
          <w:bCs/>
          <w:kern w:val="24"/>
          <w:sz w:val="24"/>
          <w:szCs w:val="24"/>
        </w:rPr>
        <w:t>y requirements must be documented</w:t>
      </w:r>
      <w:r>
        <w:rPr>
          <w:rFonts w:eastAsia="+mn-ea" w:cs="Times New Roman"/>
          <w:bCs/>
          <w:kern w:val="24"/>
          <w:sz w:val="24"/>
          <w:szCs w:val="24"/>
        </w:rPr>
        <w:t xml:space="preserve"> in the participant file. </w:t>
      </w:r>
    </w:p>
    <w:p w:rsidR="00512389" w:rsidRDefault="00512389" w:rsidP="00906915">
      <w:pPr>
        <w:spacing w:after="0" w:line="240" w:lineRule="auto"/>
        <w:rPr>
          <w:rFonts w:eastAsia="+mn-ea" w:cs="Times New Roman"/>
          <w:bCs/>
          <w:kern w:val="24"/>
          <w:sz w:val="24"/>
          <w:szCs w:val="24"/>
        </w:rPr>
      </w:pPr>
    </w:p>
    <w:p w:rsidR="00512389" w:rsidRPr="0020421D" w:rsidRDefault="00512389" w:rsidP="00906915">
      <w:pPr>
        <w:spacing w:after="0" w:line="240" w:lineRule="auto"/>
        <w:rPr>
          <w:rFonts w:eastAsia="+mn-ea" w:cs="Times New Roman"/>
          <w:b/>
          <w:bCs/>
          <w:kern w:val="24"/>
          <w:sz w:val="24"/>
          <w:szCs w:val="24"/>
        </w:rPr>
      </w:pPr>
      <w:r w:rsidRPr="0020421D">
        <w:rPr>
          <w:rFonts w:eastAsia="+mn-ea" w:cs="Times New Roman"/>
          <w:b/>
          <w:bCs/>
          <w:kern w:val="24"/>
          <w:sz w:val="24"/>
          <w:szCs w:val="24"/>
        </w:rPr>
        <w:t>Barriers to Employment</w:t>
      </w:r>
    </w:p>
    <w:p w:rsidR="00512389" w:rsidRDefault="0020421D" w:rsidP="00906915">
      <w:pPr>
        <w:spacing w:after="0" w:line="240" w:lineRule="auto"/>
        <w:rPr>
          <w:rFonts w:eastAsia="+mn-ea" w:cs="Times New Roman"/>
          <w:bCs/>
          <w:kern w:val="24"/>
          <w:sz w:val="24"/>
          <w:szCs w:val="24"/>
        </w:rPr>
      </w:pPr>
      <w:r>
        <w:rPr>
          <w:rFonts w:eastAsia="+mn-ea" w:cs="Times New Roman"/>
          <w:bCs/>
          <w:kern w:val="24"/>
          <w:sz w:val="24"/>
          <w:szCs w:val="24"/>
        </w:rPr>
        <w:t>For participant eligibility for t</w:t>
      </w:r>
      <w:r w:rsidR="009D400B">
        <w:rPr>
          <w:rFonts w:eastAsia="+mn-ea" w:cs="Times New Roman"/>
          <w:bCs/>
          <w:kern w:val="24"/>
          <w:sz w:val="24"/>
          <w:szCs w:val="24"/>
        </w:rPr>
        <w:t>ransitional job activities, participants</w:t>
      </w:r>
      <w:r>
        <w:rPr>
          <w:rFonts w:eastAsia="+mn-ea" w:cs="Times New Roman"/>
          <w:bCs/>
          <w:kern w:val="24"/>
          <w:sz w:val="24"/>
          <w:szCs w:val="24"/>
        </w:rPr>
        <w:t xml:space="preserve"> must meet one or more of the following barriers:</w:t>
      </w:r>
    </w:p>
    <w:p w:rsidR="0020421D" w:rsidRDefault="0020421D" w:rsidP="00906915">
      <w:pPr>
        <w:spacing w:after="0" w:line="240" w:lineRule="auto"/>
        <w:rPr>
          <w:rFonts w:eastAsia="+mn-ea" w:cs="Times New Roman"/>
          <w:bCs/>
          <w:kern w:val="24"/>
          <w:sz w:val="24"/>
          <w:szCs w:val="24"/>
        </w:rPr>
      </w:pPr>
    </w:p>
    <w:p w:rsidR="0020421D" w:rsidRDefault="009D400B" w:rsidP="0020421D">
      <w:pPr>
        <w:pStyle w:val="ListParagraph"/>
        <w:numPr>
          <w:ilvl w:val="0"/>
          <w:numId w:val="50"/>
        </w:numPr>
        <w:spacing w:after="0" w:line="240" w:lineRule="auto"/>
        <w:rPr>
          <w:rFonts w:eastAsia="+mn-ea" w:cs="Times New Roman"/>
          <w:bCs/>
          <w:kern w:val="24"/>
          <w:sz w:val="24"/>
          <w:szCs w:val="24"/>
        </w:rPr>
      </w:pPr>
      <w:bookmarkStart w:id="0" w:name="_GoBack"/>
      <w:bookmarkEnd w:id="0"/>
      <w:r>
        <w:rPr>
          <w:rFonts w:eastAsia="+mn-ea" w:cs="Times New Roman"/>
          <w:bCs/>
          <w:kern w:val="24"/>
          <w:sz w:val="24"/>
          <w:szCs w:val="24"/>
        </w:rPr>
        <w:t>Ex-offender</w:t>
      </w:r>
    </w:p>
    <w:p w:rsidR="0020421D" w:rsidRDefault="009D400B" w:rsidP="0020421D">
      <w:pPr>
        <w:pStyle w:val="ListParagraph"/>
        <w:numPr>
          <w:ilvl w:val="0"/>
          <w:numId w:val="50"/>
        </w:numPr>
        <w:spacing w:after="0" w:line="240" w:lineRule="auto"/>
        <w:rPr>
          <w:rFonts w:eastAsia="+mn-ea" w:cs="Times New Roman"/>
          <w:bCs/>
          <w:kern w:val="24"/>
          <w:sz w:val="24"/>
          <w:szCs w:val="24"/>
        </w:rPr>
      </w:pPr>
      <w:r>
        <w:rPr>
          <w:rFonts w:eastAsia="+mn-ea" w:cs="Times New Roman"/>
          <w:bCs/>
          <w:kern w:val="24"/>
          <w:sz w:val="24"/>
          <w:szCs w:val="24"/>
        </w:rPr>
        <w:t>Homeless individual</w:t>
      </w:r>
      <w:r w:rsidR="0020421D">
        <w:rPr>
          <w:rFonts w:eastAsia="+mn-ea" w:cs="Times New Roman"/>
          <w:bCs/>
          <w:kern w:val="24"/>
          <w:sz w:val="24"/>
          <w:szCs w:val="24"/>
        </w:rPr>
        <w:t xml:space="preserve"> </w:t>
      </w:r>
    </w:p>
    <w:p w:rsidR="0020421D" w:rsidRDefault="009D400B" w:rsidP="0020421D">
      <w:pPr>
        <w:pStyle w:val="ListParagraph"/>
        <w:numPr>
          <w:ilvl w:val="0"/>
          <w:numId w:val="50"/>
        </w:numPr>
        <w:spacing w:after="0" w:line="240" w:lineRule="auto"/>
        <w:rPr>
          <w:rFonts w:eastAsia="+mn-ea" w:cs="Times New Roman"/>
          <w:bCs/>
          <w:kern w:val="24"/>
          <w:sz w:val="24"/>
          <w:szCs w:val="24"/>
        </w:rPr>
      </w:pPr>
      <w:r>
        <w:rPr>
          <w:rFonts w:eastAsia="+mn-ea" w:cs="Times New Roman"/>
          <w:bCs/>
          <w:kern w:val="24"/>
          <w:sz w:val="24"/>
          <w:szCs w:val="24"/>
        </w:rPr>
        <w:lastRenderedPageBreak/>
        <w:t>English language learner</w:t>
      </w:r>
    </w:p>
    <w:p w:rsidR="0020421D" w:rsidRDefault="0020421D" w:rsidP="0020421D">
      <w:pPr>
        <w:pStyle w:val="ListParagraph"/>
        <w:numPr>
          <w:ilvl w:val="0"/>
          <w:numId w:val="50"/>
        </w:numPr>
        <w:spacing w:after="0" w:line="240" w:lineRule="auto"/>
        <w:rPr>
          <w:rFonts w:eastAsia="+mn-ea" w:cs="Times New Roman"/>
          <w:bCs/>
          <w:kern w:val="24"/>
          <w:sz w:val="24"/>
          <w:szCs w:val="24"/>
        </w:rPr>
      </w:pPr>
      <w:r>
        <w:rPr>
          <w:rFonts w:eastAsia="+mn-ea" w:cs="Times New Roman"/>
          <w:bCs/>
          <w:kern w:val="24"/>
          <w:sz w:val="24"/>
          <w:szCs w:val="24"/>
        </w:rPr>
        <w:t>Displaced homemaker</w:t>
      </w:r>
    </w:p>
    <w:p w:rsidR="0020421D" w:rsidRPr="0020421D" w:rsidRDefault="0020421D" w:rsidP="0020421D">
      <w:pPr>
        <w:spacing w:after="0" w:line="240" w:lineRule="auto"/>
        <w:ind w:left="360"/>
        <w:rPr>
          <w:rFonts w:eastAsia="+mn-ea" w:cs="Times New Roman"/>
          <w:bCs/>
          <w:kern w:val="24"/>
          <w:sz w:val="24"/>
          <w:szCs w:val="24"/>
        </w:rPr>
      </w:pPr>
    </w:p>
    <w:p w:rsidR="00200599" w:rsidRPr="00512389" w:rsidRDefault="00906915" w:rsidP="00906915">
      <w:pPr>
        <w:spacing w:after="0" w:line="240" w:lineRule="auto"/>
        <w:rPr>
          <w:rFonts w:eastAsia="+mn-ea" w:cs="Times New Roman"/>
          <w:b/>
          <w:bCs/>
          <w:kern w:val="24"/>
          <w:sz w:val="24"/>
          <w:szCs w:val="24"/>
        </w:rPr>
      </w:pPr>
      <w:r w:rsidRPr="00512389">
        <w:rPr>
          <w:rFonts w:eastAsia="+mn-ea" w:cs="Times New Roman"/>
          <w:b/>
          <w:bCs/>
          <w:kern w:val="24"/>
          <w:sz w:val="24"/>
          <w:szCs w:val="24"/>
        </w:rPr>
        <w:t>Chronically Unemployed</w:t>
      </w:r>
      <w:r w:rsidR="00AA6CA4">
        <w:rPr>
          <w:rFonts w:eastAsia="+mn-ea" w:cs="Times New Roman"/>
          <w:b/>
          <w:bCs/>
          <w:kern w:val="24"/>
          <w:sz w:val="24"/>
          <w:szCs w:val="24"/>
        </w:rPr>
        <w:t xml:space="preserve"> </w:t>
      </w:r>
      <w:r w:rsidRPr="00512389">
        <w:rPr>
          <w:rFonts w:eastAsia="+mn-ea" w:cs="Times New Roman"/>
          <w:b/>
          <w:bCs/>
          <w:kern w:val="24"/>
          <w:sz w:val="24"/>
          <w:szCs w:val="24"/>
        </w:rPr>
        <w:t>/ Inconsistent Work History</w:t>
      </w:r>
    </w:p>
    <w:p w:rsidR="00200599" w:rsidRDefault="0047397B" w:rsidP="00906915">
      <w:pPr>
        <w:spacing w:after="0" w:line="240" w:lineRule="auto"/>
        <w:rPr>
          <w:rFonts w:eastAsia="+mn-ea" w:cs="Times New Roman"/>
          <w:bCs/>
          <w:kern w:val="24"/>
          <w:sz w:val="24"/>
          <w:szCs w:val="24"/>
        </w:rPr>
      </w:pPr>
      <w:r>
        <w:rPr>
          <w:rFonts w:eastAsia="+mn-ea" w:cs="Times New Roman"/>
          <w:bCs/>
          <w:kern w:val="24"/>
          <w:sz w:val="24"/>
          <w:szCs w:val="24"/>
        </w:rPr>
        <w:t>Individuals with chronic unemployment or an inconsistent work history are those who:</w:t>
      </w:r>
    </w:p>
    <w:p w:rsidR="0047397B" w:rsidRDefault="0047397B" w:rsidP="00906915">
      <w:pPr>
        <w:spacing w:after="0" w:line="240" w:lineRule="auto"/>
        <w:rPr>
          <w:rFonts w:eastAsia="+mn-ea" w:cs="Times New Roman"/>
          <w:bCs/>
          <w:kern w:val="24"/>
          <w:sz w:val="24"/>
          <w:szCs w:val="24"/>
        </w:rPr>
      </w:pPr>
    </w:p>
    <w:p w:rsidR="0047397B" w:rsidRDefault="0020421D" w:rsidP="0047397B">
      <w:pPr>
        <w:pStyle w:val="ListParagraph"/>
        <w:numPr>
          <w:ilvl w:val="0"/>
          <w:numId w:val="48"/>
        </w:numPr>
        <w:spacing w:after="0" w:line="240" w:lineRule="auto"/>
        <w:rPr>
          <w:rFonts w:eastAsia="+mn-ea" w:cs="Times New Roman"/>
          <w:bCs/>
          <w:kern w:val="24"/>
          <w:sz w:val="24"/>
          <w:szCs w:val="24"/>
        </w:rPr>
      </w:pPr>
      <w:r>
        <w:rPr>
          <w:rFonts w:eastAsia="+mn-ea" w:cs="Times New Roman"/>
          <w:bCs/>
          <w:kern w:val="24"/>
          <w:sz w:val="24"/>
          <w:szCs w:val="24"/>
        </w:rPr>
        <w:t>Have</w:t>
      </w:r>
      <w:r w:rsidR="0047397B">
        <w:rPr>
          <w:rFonts w:eastAsia="+mn-ea" w:cs="Times New Roman"/>
          <w:bCs/>
          <w:kern w:val="24"/>
          <w:sz w:val="24"/>
          <w:szCs w:val="24"/>
        </w:rPr>
        <w:t xml:space="preserve"> been unemployed for 24 weeks or longer</w:t>
      </w:r>
      <w:r>
        <w:rPr>
          <w:rFonts w:eastAsia="+mn-ea" w:cs="Times New Roman"/>
          <w:bCs/>
          <w:kern w:val="24"/>
          <w:sz w:val="24"/>
          <w:szCs w:val="24"/>
        </w:rPr>
        <w:t xml:space="preserve"> prior to application</w:t>
      </w:r>
    </w:p>
    <w:p w:rsidR="0047397B" w:rsidRDefault="0020421D" w:rsidP="0047397B">
      <w:pPr>
        <w:pStyle w:val="ListParagraph"/>
        <w:numPr>
          <w:ilvl w:val="0"/>
          <w:numId w:val="48"/>
        </w:numPr>
        <w:spacing w:after="0" w:line="240" w:lineRule="auto"/>
        <w:rPr>
          <w:rFonts w:eastAsia="+mn-ea" w:cs="Times New Roman"/>
          <w:bCs/>
          <w:kern w:val="24"/>
          <w:sz w:val="24"/>
          <w:szCs w:val="24"/>
        </w:rPr>
      </w:pPr>
      <w:r>
        <w:rPr>
          <w:rFonts w:eastAsia="+mn-ea" w:cs="Times New Roman"/>
          <w:bCs/>
          <w:kern w:val="24"/>
          <w:sz w:val="24"/>
          <w:szCs w:val="24"/>
        </w:rPr>
        <w:t>Were</w:t>
      </w:r>
      <w:r w:rsidR="0047397B">
        <w:rPr>
          <w:rFonts w:eastAsia="+mn-ea" w:cs="Times New Roman"/>
          <w:bCs/>
          <w:kern w:val="24"/>
          <w:sz w:val="24"/>
          <w:szCs w:val="24"/>
        </w:rPr>
        <w:t xml:space="preserve"> unemployed at l</w:t>
      </w:r>
      <w:r>
        <w:rPr>
          <w:rFonts w:eastAsia="+mn-ea" w:cs="Times New Roman"/>
          <w:bCs/>
          <w:kern w:val="24"/>
          <w:sz w:val="24"/>
          <w:szCs w:val="24"/>
        </w:rPr>
        <w:t xml:space="preserve">east 26 of the </w:t>
      </w:r>
      <w:r w:rsidR="0047397B">
        <w:rPr>
          <w:rFonts w:eastAsia="+mn-ea" w:cs="Times New Roman"/>
          <w:bCs/>
          <w:kern w:val="24"/>
          <w:sz w:val="24"/>
          <w:szCs w:val="24"/>
        </w:rPr>
        <w:t>52 weeks</w:t>
      </w:r>
      <w:r>
        <w:rPr>
          <w:rFonts w:eastAsia="+mn-ea" w:cs="Times New Roman"/>
          <w:bCs/>
          <w:kern w:val="24"/>
          <w:sz w:val="24"/>
          <w:szCs w:val="24"/>
        </w:rPr>
        <w:t xml:space="preserve"> prior to application</w:t>
      </w:r>
    </w:p>
    <w:p w:rsidR="0047397B" w:rsidRDefault="0047397B" w:rsidP="0047397B">
      <w:pPr>
        <w:pStyle w:val="ListParagraph"/>
        <w:numPr>
          <w:ilvl w:val="0"/>
          <w:numId w:val="48"/>
        </w:numPr>
        <w:spacing w:after="0" w:line="240" w:lineRule="auto"/>
        <w:rPr>
          <w:rFonts w:eastAsia="+mn-ea" w:cs="Times New Roman"/>
          <w:bCs/>
          <w:kern w:val="24"/>
          <w:sz w:val="24"/>
          <w:szCs w:val="24"/>
        </w:rPr>
      </w:pPr>
      <w:r>
        <w:rPr>
          <w:rFonts w:eastAsia="+mn-ea" w:cs="Times New Roman"/>
          <w:bCs/>
          <w:kern w:val="24"/>
          <w:sz w:val="24"/>
          <w:szCs w:val="24"/>
        </w:rPr>
        <w:t>Have held four</w:t>
      </w:r>
      <w:r w:rsidR="0020421D">
        <w:rPr>
          <w:rFonts w:eastAsia="+mn-ea" w:cs="Times New Roman"/>
          <w:bCs/>
          <w:kern w:val="24"/>
          <w:sz w:val="24"/>
          <w:szCs w:val="24"/>
        </w:rPr>
        <w:t xml:space="preserve"> or more jobs in the 12 months prior to application</w:t>
      </w:r>
      <w:r>
        <w:rPr>
          <w:rFonts w:eastAsia="+mn-ea" w:cs="Times New Roman"/>
          <w:bCs/>
          <w:kern w:val="24"/>
          <w:sz w:val="24"/>
          <w:szCs w:val="24"/>
        </w:rPr>
        <w:t xml:space="preserve"> and are currently unemployed</w:t>
      </w:r>
      <w:r w:rsidR="00D31FEC">
        <w:rPr>
          <w:rFonts w:eastAsia="+mn-ea" w:cs="Times New Roman"/>
          <w:bCs/>
          <w:kern w:val="24"/>
          <w:sz w:val="24"/>
          <w:szCs w:val="24"/>
        </w:rPr>
        <w:t>; or</w:t>
      </w:r>
      <w:r>
        <w:rPr>
          <w:rFonts w:eastAsia="+mn-ea" w:cs="Times New Roman"/>
          <w:bCs/>
          <w:kern w:val="24"/>
          <w:sz w:val="24"/>
          <w:szCs w:val="24"/>
        </w:rPr>
        <w:t xml:space="preserve"> </w:t>
      </w:r>
    </w:p>
    <w:p w:rsidR="0020421D" w:rsidRPr="009D400B" w:rsidRDefault="0020421D" w:rsidP="009D400B">
      <w:pPr>
        <w:pStyle w:val="ListParagraph"/>
        <w:numPr>
          <w:ilvl w:val="0"/>
          <w:numId w:val="48"/>
        </w:numPr>
        <w:spacing w:after="0" w:line="240" w:lineRule="auto"/>
        <w:rPr>
          <w:rFonts w:eastAsia="+mn-ea" w:cs="Times New Roman"/>
          <w:bCs/>
          <w:kern w:val="24"/>
          <w:sz w:val="24"/>
          <w:szCs w:val="24"/>
        </w:rPr>
      </w:pPr>
      <w:r>
        <w:rPr>
          <w:rFonts w:eastAsia="+mn-ea" w:cs="Times New Roman"/>
          <w:bCs/>
          <w:kern w:val="24"/>
          <w:sz w:val="24"/>
          <w:szCs w:val="24"/>
        </w:rPr>
        <w:t>Are on parole or probation, or have been released f</w:t>
      </w:r>
      <w:r w:rsidR="009D400B">
        <w:rPr>
          <w:rFonts w:eastAsia="+mn-ea" w:cs="Times New Roman"/>
          <w:bCs/>
          <w:kern w:val="24"/>
          <w:sz w:val="24"/>
          <w:szCs w:val="24"/>
        </w:rPr>
        <w:t xml:space="preserve">rom prison/jail within the </w:t>
      </w:r>
      <w:r>
        <w:rPr>
          <w:rFonts w:eastAsia="+mn-ea" w:cs="Times New Roman"/>
          <w:bCs/>
          <w:kern w:val="24"/>
          <w:sz w:val="24"/>
          <w:szCs w:val="24"/>
        </w:rPr>
        <w:t>12 months prior to application</w:t>
      </w:r>
    </w:p>
    <w:p w:rsidR="0047397B" w:rsidRPr="0047397B" w:rsidRDefault="0047397B" w:rsidP="0047397B">
      <w:pPr>
        <w:pStyle w:val="ListParagraph"/>
        <w:spacing w:after="0" w:line="240" w:lineRule="auto"/>
        <w:rPr>
          <w:rFonts w:eastAsia="+mn-ea" w:cs="Times New Roman"/>
          <w:bCs/>
          <w:kern w:val="24"/>
          <w:sz w:val="24"/>
          <w:szCs w:val="24"/>
        </w:rPr>
      </w:pPr>
    </w:p>
    <w:p w:rsidR="00200599" w:rsidRDefault="0086649A" w:rsidP="00906915">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 xml:space="preserve">Eligible </w:t>
      </w:r>
      <w:r w:rsidR="00200599">
        <w:rPr>
          <w:rFonts w:eastAsia="+mn-ea" w:cs="Times New Roman"/>
          <w:b/>
          <w:bCs/>
          <w:color w:val="BB1F53"/>
          <w:kern w:val="24"/>
          <w:sz w:val="24"/>
          <w:szCs w:val="24"/>
        </w:rPr>
        <w:t>Employers</w:t>
      </w:r>
    </w:p>
    <w:p w:rsidR="004140CB" w:rsidRDefault="0086649A" w:rsidP="00906915">
      <w:pPr>
        <w:spacing w:after="0" w:line="240" w:lineRule="auto"/>
        <w:rPr>
          <w:rFonts w:eastAsia="+mn-ea" w:cs="Times New Roman"/>
          <w:bCs/>
          <w:kern w:val="24"/>
          <w:sz w:val="24"/>
          <w:szCs w:val="24"/>
        </w:rPr>
      </w:pPr>
      <w:r>
        <w:rPr>
          <w:rFonts w:eastAsia="+mn-ea" w:cs="Times New Roman"/>
          <w:bCs/>
          <w:kern w:val="24"/>
          <w:sz w:val="24"/>
          <w:szCs w:val="24"/>
        </w:rPr>
        <w:t xml:space="preserve">Eligible employers can be from the public, private, or non-profit sectors. </w:t>
      </w:r>
      <w:r w:rsidR="004140CB">
        <w:rPr>
          <w:rFonts w:eastAsia="+mn-ea" w:cs="Times New Roman"/>
          <w:bCs/>
          <w:kern w:val="24"/>
          <w:sz w:val="24"/>
          <w:szCs w:val="24"/>
        </w:rPr>
        <w:t xml:space="preserve">As transitional jobs are structured to help participants achieve success in the workplace and develop skills needed to obtain and retain unsubsidized employment, the employer must be able to provide supervision and appropriate feedback to the participant at regular intervals during the course of the activity and be willing to participate in the </w:t>
      </w:r>
      <w:r w:rsidR="00423E51">
        <w:rPr>
          <w:rFonts w:eastAsia="+mn-ea" w:cs="Times New Roman"/>
          <w:bCs/>
          <w:kern w:val="24"/>
          <w:sz w:val="24"/>
          <w:szCs w:val="24"/>
        </w:rPr>
        <w:t xml:space="preserve">required monthly monitoring </w:t>
      </w:r>
      <w:r w:rsidR="004140CB">
        <w:rPr>
          <w:rFonts w:eastAsia="+mn-ea" w:cs="Times New Roman"/>
          <w:bCs/>
          <w:kern w:val="24"/>
          <w:sz w:val="24"/>
          <w:szCs w:val="24"/>
        </w:rPr>
        <w:t xml:space="preserve">conducted by the Career Planner. </w:t>
      </w:r>
    </w:p>
    <w:p w:rsidR="00423E51" w:rsidRDefault="00423E51" w:rsidP="00906915">
      <w:pPr>
        <w:spacing w:after="0" w:line="240" w:lineRule="auto"/>
        <w:rPr>
          <w:rFonts w:eastAsia="+mn-ea" w:cs="Times New Roman"/>
          <w:bCs/>
          <w:kern w:val="24"/>
          <w:sz w:val="24"/>
          <w:szCs w:val="24"/>
        </w:rPr>
      </w:pPr>
    </w:p>
    <w:p w:rsidR="00200599" w:rsidRDefault="0086649A" w:rsidP="00906915">
      <w:pPr>
        <w:spacing w:after="0" w:line="240" w:lineRule="auto"/>
        <w:rPr>
          <w:rFonts w:eastAsia="+mn-ea" w:cs="Times New Roman"/>
          <w:bCs/>
          <w:kern w:val="24"/>
          <w:sz w:val="24"/>
          <w:szCs w:val="24"/>
        </w:rPr>
      </w:pPr>
      <w:r>
        <w:rPr>
          <w:rFonts w:eastAsia="+mn-ea" w:cs="Times New Roman"/>
          <w:bCs/>
          <w:kern w:val="24"/>
          <w:sz w:val="24"/>
          <w:szCs w:val="24"/>
        </w:rPr>
        <w:t>A</w:t>
      </w:r>
      <w:r w:rsidR="00AA6CA4">
        <w:rPr>
          <w:rFonts w:eastAsia="+mn-ea" w:cs="Times New Roman"/>
          <w:bCs/>
          <w:kern w:val="24"/>
          <w:sz w:val="24"/>
          <w:szCs w:val="24"/>
        </w:rPr>
        <w:t>n employer will be ineligible if</w:t>
      </w:r>
      <w:r>
        <w:rPr>
          <w:rFonts w:eastAsia="+mn-ea" w:cs="Times New Roman"/>
          <w:bCs/>
          <w:kern w:val="24"/>
          <w:sz w:val="24"/>
          <w:szCs w:val="24"/>
        </w:rPr>
        <w:t xml:space="preserve"> they meet one or more of the following:</w:t>
      </w:r>
    </w:p>
    <w:p w:rsidR="00667401" w:rsidRDefault="00667401" w:rsidP="00906915">
      <w:pPr>
        <w:spacing w:after="0" w:line="240" w:lineRule="auto"/>
        <w:rPr>
          <w:rFonts w:eastAsia="+mn-ea" w:cs="Times New Roman"/>
          <w:bCs/>
          <w:kern w:val="24"/>
          <w:sz w:val="24"/>
          <w:szCs w:val="24"/>
        </w:rPr>
      </w:pPr>
    </w:p>
    <w:p w:rsidR="0086649A" w:rsidRDefault="0086649A" w:rsidP="0086649A">
      <w:pPr>
        <w:pStyle w:val="ListParagraph"/>
        <w:numPr>
          <w:ilvl w:val="0"/>
          <w:numId w:val="49"/>
        </w:numPr>
        <w:spacing w:after="0" w:line="240" w:lineRule="auto"/>
        <w:rPr>
          <w:rFonts w:eastAsia="+mn-ea" w:cs="Times New Roman"/>
          <w:bCs/>
          <w:kern w:val="24"/>
          <w:sz w:val="24"/>
          <w:szCs w:val="24"/>
        </w:rPr>
      </w:pPr>
      <w:r>
        <w:rPr>
          <w:rFonts w:eastAsia="+mn-ea" w:cs="Times New Roman"/>
          <w:bCs/>
          <w:kern w:val="24"/>
          <w:sz w:val="24"/>
          <w:szCs w:val="24"/>
        </w:rPr>
        <w:t xml:space="preserve">The employer </w:t>
      </w:r>
      <w:r w:rsidR="00AA6CA4">
        <w:rPr>
          <w:rFonts w:eastAsia="+mn-ea" w:cs="Times New Roman"/>
          <w:bCs/>
          <w:kern w:val="24"/>
          <w:sz w:val="24"/>
          <w:szCs w:val="24"/>
        </w:rPr>
        <w:t xml:space="preserve">has recently laid off an individual of the same or equivalent position. </w:t>
      </w:r>
    </w:p>
    <w:p w:rsidR="0086649A" w:rsidRDefault="0086649A" w:rsidP="0086649A">
      <w:pPr>
        <w:pStyle w:val="ListParagraph"/>
        <w:numPr>
          <w:ilvl w:val="0"/>
          <w:numId w:val="49"/>
        </w:numPr>
        <w:spacing w:after="0" w:line="240" w:lineRule="auto"/>
        <w:rPr>
          <w:rFonts w:eastAsia="+mn-ea" w:cs="Times New Roman"/>
          <w:bCs/>
          <w:kern w:val="24"/>
          <w:sz w:val="24"/>
          <w:szCs w:val="24"/>
        </w:rPr>
      </w:pPr>
      <w:r>
        <w:rPr>
          <w:rFonts w:eastAsia="+mn-ea" w:cs="Times New Roman"/>
          <w:bCs/>
          <w:kern w:val="24"/>
          <w:sz w:val="24"/>
          <w:szCs w:val="24"/>
        </w:rPr>
        <w:t xml:space="preserve">The transitional job placement would infringe upon the promotion of or displacement of any currently employed worker or lead to a reduction in their hours. </w:t>
      </w:r>
    </w:p>
    <w:p w:rsidR="0086649A" w:rsidRPr="0086649A" w:rsidRDefault="0086649A" w:rsidP="0086649A">
      <w:pPr>
        <w:pStyle w:val="ListParagraph"/>
        <w:numPr>
          <w:ilvl w:val="0"/>
          <w:numId w:val="49"/>
        </w:numPr>
        <w:spacing w:after="0" w:line="240" w:lineRule="auto"/>
        <w:rPr>
          <w:rFonts w:eastAsia="+mn-ea" w:cs="Times New Roman"/>
          <w:bCs/>
          <w:kern w:val="24"/>
          <w:sz w:val="24"/>
          <w:szCs w:val="24"/>
        </w:rPr>
      </w:pPr>
      <w:r>
        <w:rPr>
          <w:rFonts w:eastAsia="+mn-ea" w:cs="Times New Roman"/>
          <w:bCs/>
          <w:kern w:val="24"/>
          <w:sz w:val="24"/>
          <w:szCs w:val="24"/>
        </w:rPr>
        <w:t>The employer is a private for-profit employment agency including but not limited to temporary employment agencies, employee leasing firms or staffing agencies.</w:t>
      </w:r>
    </w:p>
    <w:p w:rsidR="00423E51" w:rsidRDefault="00423E51" w:rsidP="00423E51">
      <w:pPr>
        <w:spacing w:after="0" w:line="240" w:lineRule="auto"/>
        <w:rPr>
          <w:rFonts w:eastAsia="+mn-ea" w:cs="Times New Roman"/>
          <w:bCs/>
          <w:kern w:val="24"/>
          <w:sz w:val="24"/>
          <w:szCs w:val="24"/>
        </w:rPr>
      </w:pPr>
    </w:p>
    <w:p w:rsidR="00200599" w:rsidRDefault="00423E51" w:rsidP="00423E51">
      <w:pPr>
        <w:spacing w:after="0" w:line="240" w:lineRule="auto"/>
        <w:rPr>
          <w:rFonts w:eastAsia="+mn-ea" w:cs="Times New Roman"/>
          <w:bCs/>
          <w:kern w:val="24"/>
          <w:sz w:val="24"/>
          <w:szCs w:val="24"/>
        </w:rPr>
      </w:pPr>
      <w:r>
        <w:rPr>
          <w:rFonts w:eastAsia="+mn-ea" w:cs="Times New Roman"/>
          <w:bCs/>
          <w:kern w:val="24"/>
          <w:sz w:val="24"/>
          <w:szCs w:val="24"/>
        </w:rPr>
        <w:t>Future transitional job requests from employers will be denied if the requirements set forth in previous worksite agreements were not honored.</w:t>
      </w:r>
    </w:p>
    <w:p w:rsidR="00A70C62" w:rsidRDefault="00A70C62" w:rsidP="00423E51">
      <w:pPr>
        <w:spacing w:after="0" w:line="240" w:lineRule="auto"/>
        <w:rPr>
          <w:rFonts w:eastAsia="+mn-ea" w:cs="Times New Roman"/>
          <w:bCs/>
          <w:kern w:val="24"/>
          <w:sz w:val="24"/>
          <w:szCs w:val="24"/>
        </w:rPr>
      </w:pPr>
    </w:p>
    <w:p w:rsidR="00985756" w:rsidRPr="00906915" w:rsidRDefault="004140CB" w:rsidP="00B10132">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Transitional Job Components</w:t>
      </w:r>
    </w:p>
    <w:p w:rsidR="00906915" w:rsidRDefault="00DC507F" w:rsidP="00B10132">
      <w:pPr>
        <w:spacing w:after="0" w:line="240" w:lineRule="auto"/>
        <w:rPr>
          <w:rFonts w:eastAsia="+mn-ea" w:cs="Times New Roman"/>
          <w:bCs/>
          <w:kern w:val="24"/>
          <w:sz w:val="24"/>
          <w:szCs w:val="24"/>
        </w:rPr>
      </w:pPr>
      <w:r>
        <w:rPr>
          <w:rFonts w:eastAsia="+mn-ea" w:cs="Times New Roman"/>
          <w:bCs/>
          <w:kern w:val="24"/>
          <w:sz w:val="24"/>
          <w:szCs w:val="24"/>
        </w:rPr>
        <w:t>Transitional jobs</w:t>
      </w:r>
      <w:r w:rsidR="00906915">
        <w:rPr>
          <w:rFonts w:eastAsia="+mn-ea" w:cs="Times New Roman"/>
          <w:bCs/>
          <w:kern w:val="24"/>
          <w:sz w:val="24"/>
          <w:szCs w:val="24"/>
        </w:rPr>
        <w:t xml:space="preserve"> at a minimum </w:t>
      </w:r>
      <w:r w:rsidR="00B35978">
        <w:rPr>
          <w:rFonts w:eastAsia="+mn-ea" w:cs="Times New Roman"/>
          <w:bCs/>
          <w:kern w:val="24"/>
          <w:sz w:val="24"/>
          <w:szCs w:val="24"/>
        </w:rPr>
        <w:t xml:space="preserve">must </w:t>
      </w:r>
      <w:r w:rsidR="00906915">
        <w:rPr>
          <w:rFonts w:eastAsia="+mn-ea" w:cs="Times New Roman"/>
          <w:bCs/>
          <w:kern w:val="24"/>
          <w:sz w:val="24"/>
          <w:szCs w:val="24"/>
        </w:rPr>
        <w:t>include the following components:</w:t>
      </w:r>
    </w:p>
    <w:p w:rsidR="00906915" w:rsidRDefault="00906915" w:rsidP="00B10132">
      <w:pPr>
        <w:spacing w:after="0" w:line="240" w:lineRule="auto"/>
        <w:rPr>
          <w:rFonts w:eastAsia="+mn-ea" w:cs="Times New Roman"/>
          <w:bCs/>
          <w:kern w:val="24"/>
          <w:sz w:val="24"/>
          <w:szCs w:val="24"/>
        </w:rPr>
      </w:pPr>
    </w:p>
    <w:p w:rsidR="0047397B" w:rsidRDefault="00906915" w:rsidP="00906915">
      <w:pPr>
        <w:pStyle w:val="ListParagraph"/>
        <w:numPr>
          <w:ilvl w:val="0"/>
          <w:numId w:val="47"/>
        </w:numPr>
        <w:spacing w:after="0" w:line="240" w:lineRule="auto"/>
        <w:rPr>
          <w:rFonts w:eastAsia="+mn-ea" w:cs="Times New Roman"/>
          <w:bCs/>
          <w:kern w:val="24"/>
          <w:sz w:val="24"/>
          <w:szCs w:val="24"/>
        </w:rPr>
      </w:pPr>
      <w:r>
        <w:rPr>
          <w:rFonts w:eastAsia="+mn-ea" w:cs="Times New Roman"/>
          <w:bCs/>
          <w:kern w:val="24"/>
          <w:sz w:val="24"/>
          <w:szCs w:val="24"/>
        </w:rPr>
        <w:t>Paid work experience</w:t>
      </w:r>
      <w:r w:rsidR="0047397B">
        <w:rPr>
          <w:rFonts w:eastAsia="+mn-ea" w:cs="Times New Roman"/>
          <w:bCs/>
          <w:kern w:val="24"/>
          <w:sz w:val="24"/>
          <w:szCs w:val="24"/>
        </w:rPr>
        <w:t xml:space="preserve"> of a fixed duration</w:t>
      </w:r>
    </w:p>
    <w:p w:rsidR="00B35978" w:rsidRDefault="007C7EAE" w:rsidP="00906915">
      <w:pPr>
        <w:pStyle w:val="ListParagraph"/>
        <w:numPr>
          <w:ilvl w:val="0"/>
          <w:numId w:val="47"/>
        </w:numPr>
        <w:spacing w:after="0" w:line="240" w:lineRule="auto"/>
        <w:rPr>
          <w:rFonts w:eastAsia="+mn-ea" w:cs="Times New Roman"/>
          <w:bCs/>
          <w:kern w:val="24"/>
          <w:sz w:val="24"/>
          <w:szCs w:val="24"/>
        </w:rPr>
      </w:pPr>
      <w:r>
        <w:rPr>
          <w:rFonts w:eastAsia="+mn-ea" w:cs="Times New Roman"/>
          <w:bCs/>
          <w:kern w:val="24"/>
          <w:sz w:val="24"/>
          <w:szCs w:val="24"/>
        </w:rPr>
        <w:t>Individualized c</w:t>
      </w:r>
      <w:r w:rsidR="00B35978">
        <w:rPr>
          <w:rFonts w:eastAsia="+mn-ea" w:cs="Times New Roman"/>
          <w:bCs/>
          <w:kern w:val="24"/>
          <w:sz w:val="24"/>
          <w:szCs w:val="24"/>
        </w:rPr>
        <w:t xml:space="preserve">areer services </w:t>
      </w:r>
    </w:p>
    <w:p w:rsidR="00906915" w:rsidRDefault="00B35978" w:rsidP="00B35978">
      <w:pPr>
        <w:pStyle w:val="ListParagraph"/>
        <w:numPr>
          <w:ilvl w:val="1"/>
          <w:numId w:val="47"/>
        </w:numPr>
        <w:spacing w:after="0" w:line="240" w:lineRule="auto"/>
        <w:rPr>
          <w:rFonts w:eastAsia="+mn-ea" w:cs="Times New Roman"/>
          <w:bCs/>
          <w:kern w:val="24"/>
          <w:sz w:val="24"/>
          <w:szCs w:val="24"/>
        </w:rPr>
      </w:pPr>
      <w:r>
        <w:rPr>
          <w:rFonts w:eastAsia="+mn-ea" w:cs="Times New Roman"/>
          <w:bCs/>
          <w:kern w:val="24"/>
          <w:sz w:val="24"/>
          <w:szCs w:val="24"/>
        </w:rPr>
        <w:t>At least one must be provided prior to or dur</w:t>
      </w:r>
      <w:r w:rsidR="00867CBA">
        <w:rPr>
          <w:rFonts w:eastAsia="+mn-ea" w:cs="Times New Roman"/>
          <w:bCs/>
          <w:kern w:val="24"/>
          <w:sz w:val="24"/>
          <w:szCs w:val="24"/>
        </w:rPr>
        <w:t xml:space="preserve">ing the transitional job. (Examples include, but are not limited to: </w:t>
      </w:r>
      <w:r>
        <w:rPr>
          <w:rFonts w:eastAsia="+mn-ea" w:cs="Times New Roman"/>
          <w:bCs/>
          <w:kern w:val="24"/>
          <w:sz w:val="24"/>
          <w:szCs w:val="24"/>
        </w:rPr>
        <w:t>group and/or individual counseling, short-term prevocational services including soft skills training, workforce preparation activities, financial literacy activities, English language acquisition, etc.)</w:t>
      </w:r>
      <w:r w:rsidR="00906915">
        <w:rPr>
          <w:rFonts w:eastAsia="+mn-ea" w:cs="Times New Roman"/>
          <w:bCs/>
          <w:kern w:val="24"/>
          <w:sz w:val="24"/>
          <w:szCs w:val="24"/>
        </w:rPr>
        <w:t xml:space="preserve"> </w:t>
      </w:r>
    </w:p>
    <w:p w:rsidR="00906915" w:rsidRDefault="00906915" w:rsidP="00906915">
      <w:pPr>
        <w:pStyle w:val="ListParagraph"/>
        <w:numPr>
          <w:ilvl w:val="0"/>
          <w:numId w:val="47"/>
        </w:numPr>
        <w:spacing w:after="0" w:line="240" w:lineRule="auto"/>
        <w:rPr>
          <w:rFonts w:eastAsia="+mn-ea" w:cs="Times New Roman"/>
          <w:bCs/>
          <w:kern w:val="24"/>
          <w:sz w:val="24"/>
          <w:szCs w:val="24"/>
        </w:rPr>
      </w:pPr>
      <w:r>
        <w:rPr>
          <w:rFonts w:eastAsia="+mn-ea" w:cs="Times New Roman"/>
          <w:bCs/>
          <w:kern w:val="24"/>
          <w:sz w:val="24"/>
          <w:szCs w:val="24"/>
        </w:rPr>
        <w:t>Supportive services</w:t>
      </w:r>
      <w:r w:rsidR="0047397B">
        <w:rPr>
          <w:rFonts w:eastAsia="+mn-ea" w:cs="Times New Roman"/>
          <w:bCs/>
          <w:kern w:val="24"/>
          <w:sz w:val="24"/>
          <w:szCs w:val="24"/>
        </w:rPr>
        <w:t xml:space="preserve"> </w:t>
      </w:r>
    </w:p>
    <w:p w:rsidR="001A28B9" w:rsidRDefault="001A28B9" w:rsidP="001A28B9">
      <w:pPr>
        <w:pStyle w:val="ListParagraph"/>
        <w:numPr>
          <w:ilvl w:val="1"/>
          <w:numId w:val="47"/>
        </w:numPr>
        <w:spacing w:after="0" w:line="240" w:lineRule="auto"/>
        <w:rPr>
          <w:rFonts w:eastAsia="+mn-ea" w:cs="Times New Roman"/>
          <w:bCs/>
          <w:kern w:val="24"/>
          <w:sz w:val="24"/>
          <w:szCs w:val="24"/>
        </w:rPr>
      </w:pPr>
      <w:r>
        <w:rPr>
          <w:rFonts w:eastAsia="+mn-ea" w:cs="Times New Roman"/>
          <w:bCs/>
          <w:kern w:val="24"/>
          <w:sz w:val="24"/>
          <w:szCs w:val="24"/>
        </w:rPr>
        <w:t>At least one must be provided during the transition</w:t>
      </w:r>
      <w:r w:rsidR="00867CBA">
        <w:rPr>
          <w:rFonts w:eastAsia="+mn-ea" w:cs="Times New Roman"/>
          <w:bCs/>
          <w:kern w:val="24"/>
          <w:sz w:val="24"/>
          <w:szCs w:val="24"/>
        </w:rPr>
        <w:t>al job. (Examples include, but are not limited to: linkages to community services, assi</w:t>
      </w:r>
      <w:r w:rsidR="00953C27">
        <w:rPr>
          <w:rFonts w:eastAsia="+mn-ea" w:cs="Times New Roman"/>
          <w:bCs/>
          <w:kern w:val="24"/>
          <w:sz w:val="24"/>
          <w:szCs w:val="24"/>
        </w:rPr>
        <w:t xml:space="preserve">stance with child care, </w:t>
      </w:r>
      <w:r w:rsidR="00953C27">
        <w:rPr>
          <w:rFonts w:eastAsia="+mn-ea" w:cs="Times New Roman"/>
          <w:bCs/>
          <w:kern w:val="24"/>
          <w:sz w:val="24"/>
          <w:szCs w:val="24"/>
        </w:rPr>
        <w:lastRenderedPageBreak/>
        <w:t>housing or</w:t>
      </w:r>
      <w:r w:rsidR="00867CBA">
        <w:rPr>
          <w:rFonts w:eastAsia="+mn-ea" w:cs="Times New Roman"/>
          <w:bCs/>
          <w:kern w:val="24"/>
          <w:sz w:val="24"/>
          <w:szCs w:val="24"/>
        </w:rPr>
        <w:t xml:space="preserve"> transportation, assistance with education testing, referrals to health care)</w:t>
      </w:r>
      <w:r w:rsidR="006B469B">
        <w:rPr>
          <w:rFonts w:eastAsia="+mn-ea" w:cs="Times New Roman"/>
          <w:bCs/>
          <w:kern w:val="24"/>
          <w:sz w:val="24"/>
          <w:szCs w:val="24"/>
        </w:rPr>
        <w:t xml:space="preserve">. See Supportive Services policy for an all-inclusive list. </w:t>
      </w:r>
    </w:p>
    <w:p w:rsidR="00906915" w:rsidRPr="00906915" w:rsidRDefault="00906915" w:rsidP="00906915">
      <w:pPr>
        <w:pStyle w:val="ListParagraph"/>
        <w:spacing w:after="0" w:line="240" w:lineRule="auto"/>
        <w:rPr>
          <w:rFonts w:eastAsia="+mn-ea" w:cs="Times New Roman"/>
          <w:bCs/>
          <w:kern w:val="24"/>
          <w:sz w:val="24"/>
          <w:szCs w:val="24"/>
        </w:rPr>
      </w:pPr>
    </w:p>
    <w:p w:rsidR="0086649A" w:rsidRDefault="0086649A" w:rsidP="00685C25">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Length &amp; Wage Limits</w:t>
      </w:r>
    </w:p>
    <w:p w:rsidR="0086649A" w:rsidRDefault="0086649A" w:rsidP="00685C25">
      <w:pPr>
        <w:spacing w:after="0" w:line="240" w:lineRule="auto"/>
        <w:rPr>
          <w:rFonts w:eastAsia="+mn-ea" w:cs="Times New Roman"/>
          <w:bCs/>
          <w:kern w:val="24"/>
          <w:sz w:val="24"/>
          <w:szCs w:val="24"/>
        </w:rPr>
      </w:pPr>
      <w:r>
        <w:rPr>
          <w:rFonts w:eastAsia="+mn-ea" w:cs="Times New Roman"/>
          <w:bCs/>
          <w:kern w:val="24"/>
          <w:sz w:val="24"/>
          <w:szCs w:val="24"/>
        </w:rPr>
        <w:t>Transitional jobs are time limite</w:t>
      </w:r>
      <w:r w:rsidR="00423E51">
        <w:rPr>
          <w:rFonts w:eastAsia="+mn-ea" w:cs="Times New Roman"/>
          <w:bCs/>
          <w:kern w:val="24"/>
          <w:sz w:val="24"/>
          <w:szCs w:val="24"/>
        </w:rPr>
        <w:t>d to no more than 500 hours</w:t>
      </w:r>
      <w:r w:rsidR="00B35978">
        <w:rPr>
          <w:rFonts w:eastAsia="+mn-ea" w:cs="Times New Roman"/>
          <w:bCs/>
          <w:kern w:val="24"/>
          <w:sz w:val="24"/>
          <w:szCs w:val="24"/>
        </w:rPr>
        <w:t xml:space="preserve">. </w:t>
      </w:r>
      <w:r w:rsidR="00423E51">
        <w:rPr>
          <w:rFonts w:eastAsia="+mn-ea" w:cs="Times New Roman"/>
          <w:bCs/>
          <w:kern w:val="24"/>
          <w:sz w:val="24"/>
          <w:szCs w:val="24"/>
        </w:rPr>
        <w:t xml:space="preserve">Participants can work up to 40 hours or less a week. </w:t>
      </w:r>
      <w:r w:rsidR="00B35978">
        <w:rPr>
          <w:rFonts w:eastAsia="+mn-ea" w:cs="Times New Roman"/>
          <w:bCs/>
          <w:kern w:val="24"/>
          <w:sz w:val="24"/>
          <w:szCs w:val="24"/>
        </w:rPr>
        <w:t>The participant may be placed with more than one employer during the transitional job activity, but the total number of hours for all worksites may not exceed 500 hours or 26 weeks, whichever comes first.</w:t>
      </w:r>
    </w:p>
    <w:p w:rsidR="0086649A" w:rsidRDefault="0086649A" w:rsidP="00685C25">
      <w:pPr>
        <w:spacing w:after="0" w:line="240" w:lineRule="auto"/>
        <w:rPr>
          <w:rFonts w:eastAsia="+mn-ea" w:cs="Times New Roman"/>
          <w:bCs/>
          <w:kern w:val="24"/>
          <w:sz w:val="24"/>
          <w:szCs w:val="24"/>
        </w:rPr>
      </w:pPr>
    </w:p>
    <w:p w:rsidR="0086649A" w:rsidRDefault="00AA6CA4" w:rsidP="00685C25">
      <w:pPr>
        <w:spacing w:after="0" w:line="240" w:lineRule="auto"/>
        <w:rPr>
          <w:rFonts w:eastAsia="+mn-ea" w:cs="Times New Roman"/>
          <w:bCs/>
          <w:kern w:val="24"/>
          <w:sz w:val="24"/>
          <w:szCs w:val="24"/>
        </w:rPr>
      </w:pPr>
      <w:r>
        <w:rPr>
          <w:rFonts w:eastAsia="+mn-ea" w:cs="Times New Roman"/>
          <w:bCs/>
          <w:kern w:val="24"/>
          <w:sz w:val="24"/>
          <w:szCs w:val="24"/>
        </w:rPr>
        <w:t xml:space="preserve">GN </w:t>
      </w:r>
      <w:r w:rsidR="00423E51">
        <w:rPr>
          <w:rFonts w:eastAsia="+mn-ea" w:cs="Times New Roman"/>
          <w:bCs/>
          <w:kern w:val="24"/>
          <w:sz w:val="24"/>
          <w:szCs w:val="24"/>
        </w:rPr>
        <w:t xml:space="preserve">WIOA will pay </w:t>
      </w:r>
      <w:r>
        <w:rPr>
          <w:rFonts w:eastAsia="+mn-ea" w:cs="Times New Roman"/>
          <w:bCs/>
          <w:kern w:val="24"/>
          <w:sz w:val="24"/>
          <w:szCs w:val="24"/>
        </w:rPr>
        <w:t xml:space="preserve">100% of </w:t>
      </w:r>
      <w:r w:rsidR="00423E51">
        <w:rPr>
          <w:rFonts w:eastAsia="+mn-ea" w:cs="Times New Roman"/>
          <w:bCs/>
          <w:kern w:val="24"/>
          <w:sz w:val="24"/>
          <w:szCs w:val="24"/>
        </w:rPr>
        <w:t xml:space="preserve">the participant’s wages.  Wages are set at the Nebraska </w:t>
      </w:r>
      <w:r w:rsidR="0086649A">
        <w:rPr>
          <w:rFonts w:eastAsia="+mn-ea" w:cs="Times New Roman"/>
          <w:bCs/>
          <w:kern w:val="24"/>
          <w:sz w:val="24"/>
          <w:szCs w:val="24"/>
        </w:rPr>
        <w:t xml:space="preserve">minimum wage ($9/hr at the effective date of this policy). </w:t>
      </w:r>
    </w:p>
    <w:p w:rsidR="0086649A" w:rsidRDefault="0086649A" w:rsidP="00685C25">
      <w:pPr>
        <w:spacing w:after="0" w:line="240" w:lineRule="auto"/>
        <w:rPr>
          <w:rFonts w:eastAsia="+mn-ea" w:cs="Times New Roman"/>
          <w:bCs/>
          <w:kern w:val="24"/>
          <w:sz w:val="24"/>
          <w:szCs w:val="24"/>
        </w:rPr>
      </w:pPr>
    </w:p>
    <w:p w:rsidR="0086649A" w:rsidRDefault="00512389" w:rsidP="00685C25">
      <w:pPr>
        <w:spacing w:after="0" w:line="240" w:lineRule="auto"/>
        <w:rPr>
          <w:rFonts w:eastAsia="+mn-ea" w:cs="Times New Roman"/>
          <w:bCs/>
          <w:kern w:val="24"/>
          <w:sz w:val="24"/>
          <w:szCs w:val="24"/>
        </w:rPr>
      </w:pPr>
      <w:r>
        <w:rPr>
          <w:rFonts w:eastAsia="+mn-ea" w:cs="Times New Roman"/>
          <w:bCs/>
          <w:kern w:val="24"/>
          <w:sz w:val="24"/>
          <w:szCs w:val="24"/>
        </w:rPr>
        <w:t>The maximum</w:t>
      </w:r>
      <w:r w:rsidR="0086649A">
        <w:rPr>
          <w:rFonts w:eastAsia="+mn-ea" w:cs="Times New Roman"/>
          <w:bCs/>
          <w:kern w:val="24"/>
          <w:sz w:val="24"/>
          <w:szCs w:val="24"/>
        </w:rPr>
        <w:t xml:space="preserve"> cost to be paid per participant </w:t>
      </w:r>
      <w:r>
        <w:rPr>
          <w:rFonts w:eastAsia="+mn-ea" w:cs="Times New Roman"/>
          <w:bCs/>
          <w:kern w:val="24"/>
          <w:sz w:val="24"/>
          <w:szCs w:val="24"/>
        </w:rPr>
        <w:t>for the work experience component</w:t>
      </w:r>
      <w:r w:rsidR="00953C27">
        <w:rPr>
          <w:rFonts w:eastAsia="+mn-ea" w:cs="Times New Roman"/>
          <w:bCs/>
          <w:kern w:val="24"/>
          <w:sz w:val="24"/>
          <w:szCs w:val="24"/>
        </w:rPr>
        <w:t xml:space="preserve"> of the transitional job is $4,5</w:t>
      </w:r>
      <w:r>
        <w:rPr>
          <w:rFonts w:eastAsia="+mn-ea" w:cs="Times New Roman"/>
          <w:bCs/>
          <w:kern w:val="24"/>
          <w:sz w:val="24"/>
          <w:szCs w:val="24"/>
        </w:rPr>
        <w:t xml:space="preserve">00. The supportive service maximum cost </w:t>
      </w:r>
      <w:r w:rsidR="00953C27">
        <w:rPr>
          <w:rFonts w:eastAsia="+mn-ea" w:cs="Times New Roman"/>
          <w:bCs/>
          <w:kern w:val="24"/>
          <w:sz w:val="24"/>
          <w:szCs w:val="24"/>
        </w:rPr>
        <w:t>to be paid per participant is $4</w:t>
      </w:r>
      <w:r w:rsidR="00AA6CA4">
        <w:rPr>
          <w:rFonts w:eastAsia="+mn-ea" w:cs="Times New Roman"/>
          <w:bCs/>
          <w:kern w:val="24"/>
          <w:sz w:val="24"/>
          <w:szCs w:val="24"/>
        </w:rPr>
        <w:t>,000 and must be based off of participant</w:t>
      </w:r>
      <w:r>
        <w:rPr>
          <w:rFonts w:eastAsia="+mn-ea" w:cs="Times New Roman"/>
          <w:bCs/>
          <w:kern w:val="24"/>
          <w:sz w:val="24"/>
          <w:szCs w:val="24"/>
        </w:rPr>
        <w:t xml:space="preserve"> need. </w:t>
      </w:r>
    </w:p>
    <w:p w:rsidR="00512389" w:rsidRPr="0086649A" w:rsidRDefault="00512389" w:rsidP="00685C25">
      <w:pPr>
        <w:spacing w:after="0" w:line="240" w:lineRule="auto"/>
        <w:rPr>
          <w:rFonts w:eastAsia="+mn-ea" w:cs="Times New Roman"/>
          <w:bCs/>
          <w:kern w:val="24"/>
          <w:sz w:val="24"/>
          <w:szCs w:val="24"/>
        </w:rPr>
      </w:pPr>
    </w:p>
    <w:p w:rsidR="009D400B" w:rsidRDefault="009D400B" w:rsidP="00685C25">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Documentation</w:t>
      </w:r>
      <w:r w:rsidR="00B35978">
        <w:rPr>
          <w:rFonts w:eastAsia="+mn-ea" w:cs="Times New Roman"/>
          <w:b/>
          <w:bCs/>
          <w:color w:val="BB1F53"/>
          <w:kern w:val="24"/>
          <w:sz w:val="24"/>
          <w:szCs w:val="24"/>
        </w:rPr>
        <w:t>/ Monitoring</w:t>
      </w:r>
      <w:r>
        <w:rPr>
          <w:rFonts w:eastAsia="+mn-ea" w:cs="Times New Roman"/>
          <w:b/>
          <w:bCs/>
          <w:color w:val="BB1F53"/>
          <w:kern w:val="24"/>
          <w:sz w:val="24"/>
          <w:szCs w:val="24"/>
        </w:rPr>
        <w:t xml:space="preserve"> </w:t>
      </w:r>
    </w:p>
    <w:p w:rsidR="009D400B" w:rsidRDefault="009D400B" w:rsidP="00685C25">
      <w:pPr>
        <w:spacing w:after="0" w:line="240" w:lineRule="auto"/>
        <w:rPr>
          <w:rFonts w:eastAsia="+mn-ea" w:cs="Times New Roman"/>
          <w:bCs/>
          <w:kern w:val="24"/>
          <w:sz w:val="24"/>
          <w:szCs w:val="24"/>
        </w:rPr>
      </w:pPr>
      <w:r>
        <w:rPr>
          <w:rFonts w:eastAsia="+mn-ea" w:cs="Times New Roman"/>
          <w:bCs/>
          <w:kern w:val="24"/>
          <w:sz w:val="24"/>
          <w:szCs w:val="24"/>
        </w:rPr>
        <w:t>The participant need, eligibility, and all three components of the transitional job must be documented in a ca</w:t>
      </w:r>
      <w:r w:rsidR="00953C27">
        <w:rPr>
          <w:rFonts w:eastAsia="+mn-ea" w:cs="Times New Roman"/>
          <w:bCs/>
          <w:kern w:val="24"/>
          <w:sz w:val="24"/>
          <w:szCs w:val="24"/>
        </w:rPr>
        <w:t>se note and the IEP</w:t>
      </w:r>
      <w:r>
        <w:rPr>
          <w:rFonts w:eastAsia="+mn-ea" w:cs="Times New Roman"/>
          <w:bCs/>
          <w:kern w:val="24"/>
          <w:sz w:val="24"/>
          <w:szCs w:val="24"/>
        </w:rPr>
        <w:t>. A</w:t>
      </w:r>
      <w:r w:rsidR="00AA6CA4">
        <w:rPr>
          <w:rFonts w:eastAsia="+mn-ea" w:cs="Times New Roman"/>
          <w:bCs/>
          <w:kern w:val="24"/>
          <w:sz w:val="24"/>
          <w:szCs w:val="24"/>
        </w:rPr>
        <w:t>n</w:t>
      </w:r>
      <w:r>
        <w:rPr>
          <w:rFonts w:eastAsia="+mn-ea" w:cs="Times New Roman"/>
          <w:bCs/>
          <w:kern w:val="24"/>
          <w:sz w:val="24"/>
          <w:szCs w:val="24"/>
        </w:rPr>
        <w:t xml:space="preserve"> NEworks activity must also be opened. Transitional jobs are exempt from the WIOA Eligible Training Provider and Individual Training Account requirements. </w:t>
      </w:r>
    </w:p>
    <w:p w:rsidR="00B35978" w:rsidRDefault="00B35978" w:rsidP="00685C25">
      <w:pPr>
        <w:spacing w:after="0" w:line="240" w:lineRule="auto"/>
        <w:rPr>
          <w:rFonts w:eastAsia="+mn-ea" w:cs="Times New Roman"/>
          <w:bCs/>
          <w:kern w:val="24"/>
          <w:sz w:val="24"/>
          <w:szCs w:val="24"/>
        </w:rPr>
      </w:pPr>
    </w:p>
    <w:p w:rsidR="003F7BE6" w:rsidRDefault="003F7BE6" w:rsidP="00685C25">
      <w:pPr>
        <w:spacing w:after="0" w:line="240" w:lineRule="auto"/>
        <w:rPr>
          <w:rFonts w:eastAsia="+mn-ea" w:cs="Times New Roman"/>
          <w:bCs/>
          <w:kern w:val="24"/>
          <w:sz w:val="24"/>
          <w:szCs w:val="24"/>
        </w:rPr>
      </w:pPr>
      <w:r>
        <w:rPr>
          <w:rFonts w:eastAsia="+mn-ea" w:cs="Times New Roman"/>
          <w:bCs/>
          <w:kern w:val="24"/>
          <w:sz w:val="24"/>
          <w:szCs w:val="24"/>
        </w:rPr>
        <w:t xml:space="preserve">A signed Eligibility Summary for Transitional Jobs Activities is required in the participant file prior to opening the activity. </w:t>
      </w:r>
    </w:p>
    <w:p w:rsidR="003F7BE6" w:rsidRDefault="003F7BE6" w:rsidP="00685C25">
      <w:pPr>
        <w:spacing w:after="0" w:line="240" w:lineRule="auto"/>
        <w:rPr>
          <w:rFonts w:eastAsia="+mn-ea" w:cs="Times New Roman"/>
          <w:bCs/>
          <w:kern w:val="24"/>
          <w:sz w:val="24"/>
          <w:szCs w:val="24"/>
        </w:rPr>
      </w:pPr>
    </w:p>
    <w:p w:rsidR="00B35978" w:rsidRDefault="00B35978" w:rsidP="00685C25">
      <w:pPr>
        <w:spacing w:after="0" w:line="240" w:lineRule="auto"/>
        <w:rPr>
          <w:rFonts w:eastAsia="+mn-ea" w:cs="Times New Roman"/>
          <w:bCs/>
          <w:kern w:val="24"/>
          <w:sz w:val="24"/>
          <w:szCs w:val="24"/>
        </w:rPr>
      </w:pPr>
      <w:r>
        <w:rPr>
          <w:rFonts w:eastAsia="+mn-ea" w:cs="Times New Roman"/>
          <w:bCs/>
          <w:kern w:val="24"/>
          <w:sz w:val="24"/>
          <w:szCs w:val="24"/>
        </w:rPr>
        <w:t xml:space="preserve">A signed worksite agreement between the service provider and a qualified employer is required </w:t>
      </w:r>
      <w:r w:rsidR="003F7BE6">
        <w:rPr>
          <w:rFonts w:eastAsia="+mn-ea" w:cs="Times New Roman"/>
          <w:bCs/>
          <w:kern w:val="24"/>
          <w:sz w:val="24"/>
          <w:szCs w:val="24"/>
        </w:rPr>
        <w:t xml:space="preserve">in the participant file </w:t>
      </w:r>
      <w:r>
        <w:rPr>
          <w:rFonts w:eastAsia="+mn-ea" w:cs="Times New Roman"/>
          <w:bCs/>
          <w:kern w:val="24"/>
          <w:sz w:val="24"/>
          <w:szCs w:val="24"/>
        </w:rPr>
        <w:t xml:space="preserve">prior to the start of work. </w:t>
      </w:r>
    </w:p>
    <w:p w:rsidR="00B35978" w:rsidRDefault="00B35978" w:rsidP="00685C25">
      <w:pPr>
        <w:spacing w:after="0" w:line="240" w:lineRule="auto"/>
        <w:rPr>
          <w:rFonts w:eastAsia="+mn-ea" w:cs="Times New Roman"/>
          <w:bCs/>
          <w:kern w:val="24"/>
          <w:sz w:val="24"/>
          <w:szCs w:val="24"/>
        </w:rPr>
      </w:pPr>
    </w:p>
    <w:p w:rsidR="00B35978" w:rsidRPr="009D400B" w:rsidRDefault="00B35978" w:rsidP="00685C25">
      <w:pPr>
        <w:spacing w:after="0" w:line="240" w:lineRule="auto"/>
        <w:rPr>
          <w:rFonts w:eastAsia="+mn-ea" w:cs="Times New Roman"/>
          <w:bCs/>
          <w:kern w:val="24"/>
          <w:sz w:val="24"/>
          <w:szCs w:val="24"/>
        </w:rPr>
      </w:pPr>
      <w:r>
        <w:rPr>
          <w:rFonts w:eastAsia="+mn-ea" w:cs="Times New Roman"/>
          <w:bCs/>
          <w:kern w:val="24"/>
          <w:sz w:val="24"/>
          <w:szCs w:val="24"/>
        </w:rPr>
        <w:t>Monitoring will be completed at least once a month</w:t>
      </w:r>
      <w:r w:rsidR="00A70C62">
        <w:rPr>
          <w:rFonts w:eastAsia="+mn-ea" w:cs="Times New Roman"/>
          <w:bCs/>
          <w:kern w:val="24"/>
          <w:sz w:val="24"/>
          <w:szCs w:val="24"/>
        </w:rPr>
        <w:t>, in person or via phone or email,</w:t>
      </w:r>
      <w:r>
        <w:rPr>
          <w:rFonts w:eastAsia="+mn-ea" w:cs="Times New Roman"/>
          <w:bCs/>
          <w:kern w:val="24"/>
          <w:sz w:val="24"/>
          <w:szCs w:val="24"/>
        </w:rPr>
        <w:t xml:space="preserve"> and must be documented in a case note and</w:t>
      </w:r>
      <w:r w:rsidR="001A28B9">
        <w:rPr>
          <w:rFonts w:eastAsia="+mn-ea" w:cs="Times New Roman"/>
          <w:bCs/>
          <w:kern w:val="24"/>
          <w:sz w:val="24"/>
          <w:szCs w:val="24"/>
        </w:rPr>
        <w:t xml:space="preserve"> IEP</w:t>
      </w:r>
      <w:r>
        <w:rPr>
          <w:rFonts w:eastAsia="+mn-ea" w:cs="Times New Roman"/>
          <w:bCs/>
          <w:kern w:val="24"/>
          <w:sz w:val="24"/>
          <w:szCs w:val="24"/>
        </w:rPr>
        <w:t xml:space="preserve">. The monitoring should include an evaluation of soft skills and occupational skills. </w:t>
      </w:r>
    </w:p>
    <w:p w:rsidR="009D400B" w:rsidRDefault="009D400B" w:rsidP="00685C25">
      <w:pPr>
        <w:spacing w:after="0" w:line="240" w:lineRule="auto"/>
        <w:rPr>
          <w:rFonts w:eastAsia="+mn-ea" w:cs="Times New Roman"/>
          <w:b/>
          <w:bCs/>
          <w:color w:val="BB1F53"/>
          <w:kern w:val="24"/>
          <w:sz w:val="24"/>
          <w:szCs w:val="24"/>
        </w:rPr>
      </w:pPr>
    </w:p>
    <w:p w:rsidR="00685C25" w:rsidRPr="00B13F81" w:rsidRDefault="00685C25" w:rsidP="00685C25">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t>Disclaimer</w:t>
      </w:r>
    </w:p>
    <w:p w:rsidR="00685C25" w:rsidRDefault="00685C25" w:rsidP="00685C25">
      <w:pPr>
        <w:spacing w:after="0" w:line="240" w:lineRule="auto"/>
        <w:jc w:val="both"/>
        <w:rPr>
          <w:rFonts w:eastAsia="Times New Roman" w:cs="Times New Roman"/>
          <w:sz w:val="24"/>
          <w:szCs w:val="24"/>
        </w:rPr>
      </w:pPr>
      <w:r w:rsidRPr="005B3B52">
        <w:rPr>
          <w:rFonts w:eastAsia="Times New Roman" w:cs="Times New Roman"/>
          <w:sz w:val="24"/>
          <w:szCs w:val="24"/>
        </w:rPr>
        <w:t>This policy is based on Greater Nebraska’s reading of the applicable statutes, regulations, rules and guidance released by the U.S. Government and the State of Nebraska.  This policy is subject to change as revised or additional statutes, regulations, rules and guidance are issued.</w:t>
      </w:r>
    </w:p>
    <w:p w:rsidR="00985756" w:rsidRDefault="00985756" w:rsidP="00685C25">
      <w:pPr>
        <w:spacing w:after="0" w:line="240" w:lineRule="auto"/>
        <w:jc w:val="both"/>
        <w:rPr>
          <w:rFonts w:eastAsia="Times New Roman" w:cs="Times New Roman"/>
          <w:sz w:val="24"/>
          <w:szCs w:val="24"/>
        </w:rPr>
      </w:pPr>
    </w:p>
    <w:p w:rsidR="00985756" w:rsidRDefault="00985756" w:rsidP="00685C25">
      <w:pPr>
        <w:spacing w:after="0" w:line="240" w:lineRule="auto"/>
        <w:jc w:val="both"/>
        <w:rPr>
          <w:rFonts w:eastAsia="Times New Roman" w:cs="Times New Roman"/>
          <w:sz w:val="24"/>
          <w:szCs w:val="24"/>
        </w:rPr>
      </w:pPr>
    </w:p>
    <w:p w:rsidR="007D4808" w:rsidRDefault="007D4808" w:rsidP="00685C25">
      <w:pPr>
        <w:spacing w:after="0" w:line="240" w:lineRule="auto"/>
        <w:jc w:val="both"/>
        <w:rPr>
          <w:rFonts w:eastAsia="Times New Roman" w:cs="Times New Roman"/>
          <w:sz w:val="24"/>
          <w:szCs w:val="24"/>
          <w:highlight w:val="yellow"/>
        </w:rPr>
      </w:pPr>
    </w:p>
    <w:p w:rsidR="007D4808" w:rsidRDefault="007D4808" w:rsidP="00685C25">
      <w:pPr>
        <w:spacing w:after="0" w:line="240" w:lineRule="auto"/>
        <w:jc w:val="both"/>
        <w:rPr>
          <w:rFonts w:eastAsia="Times New Roman" w:cs="Times New Roman"/>
          <w:sz w:val="24"/>
          <w:szCs w:val="24"/>
          <w:highlight w:val="yellow"/>
        </w:rPr>
      </w:pPr>
    </w:p>
    <w:p w:rsidR="007D4808" w:rsidRDefault="007D4808" w:rsidP="00685C25">
      <w:pPr>
        <w:spacing w:after="0" w:line="240" w:lineRule="auto"/>
        <w:jc w:val="both"/>
        <w:rPr>
          <w:rFonts w:eastAsia="Times New Roman" w:cs="Times New Roman"/>
          <w:sz w:val="24"/>
          <w:szCs w:val="24"/>
          <w:highlight w:val="yellow"/>
        </w:rPr>
      </w:pPr>
    </w:p>
    <w:p w:rsidR="00200599" w:rsidRPr="005B3B52" w:rsidRDefault="00200599" w:rsidP="00685C25">
      <w:pPr>
        <w:spacing w:after="0" w:line="240" w:lineRule="auto"/>
        <w:jc w:val="both"/>
        <w:rPr>
          <w:rFonts w:eastAsia="Times New Roman" w:cs="Times New Roman"/>
          <w:sz w:val="24"/>
          <w:szCs w:val="24"/>
        </w:rPr>
      </w:pPr>
    </w:p>
    <w:sectPr w:rsidR="00200599" w:rsidRPr="005B3B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FA8" w:rsidRDefault="00194FA8" w:rsidP="00E54BD1">
      <w:pPr>
        <w:spacing w:after="0" w:line="240" w:lineRule="auto"/>
      </w:pPr>
      <w:r>
        <w:separator/>
      </w:r>
    </w:p>
  </w:endnote>
  <w:endnote w:type="continuationSeparator" w:id="0">
    <w:p w:rsidR="00194FA8" w:rsidRDefault="00194FA8"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151D12">
              <w:rPr>
                <w:b/>
                <w:bCs/>
                <w:noProof/>
                <w:sz w:val="20"/>
                <w:szCs w:val="20"/>
              </w:rPr>
              <w:t>3</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151D12">
              <w:rPr>
                <w:b/>
                <w:bCs/>
                <w:noProof/>
                <w:sz w:val="20"/>
                <w:szCs w:val="20"/>
              </w:rPr>
              <w:t>3</w:t>
            </w:r>
            <w:r w:rsidRPr="009D2F91">
              <w:rPr>
                <w:b/>
                <w:bCs/>
                <w:sz w:val="20"/>
                <w:szCs w:val="20"/>
              </w:rPr>
              <w:fldChar w:fldCharType="end"/>
            </w:r>
          </w:p>
        </w:sdtContent>
      </w:sdt>
    </w:sdtContent>
  </w:sdt>
  <w:p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FA8" w:rsidRDefault="00194FA8" w:rsidP="00E54BD1">
      <w:pPr>
        <w:spacing w:after="0" w:line="240" w:lineRule="auto"/>
      </w:pPr>
      <w:r>
        <w:separator/>
      </w:r>
    </w:p>
  </w:footnote>
  <w:footnote w:type="continuationSeparator" w:id="0">
    <w:p w:rsidR="00194FA8" w:rsidRDefault="00194FA8"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54BD1" w:rsidRPr="00E54BD1" w:rsidRDefault="00E54BD1" w:rsidP="00E54BD1">
    <w:pPr>
      <w:pStyle w:val="Header"/>
      <w:ind w:right="-18"/>
      <w:rPr>
        <w:rFonts w:cs="Arial"/>
        <w:b/>
      </w:rPr>
    </w:pPr>
    <w:r w:rsidRPr="00E54BD1">
      <w:rPr>
        <w:rFonts w:cs="Arial"/>
        <w:b/>
      </w:rPr>
      <w:tab/>
      <w:t xml:space="preserve">                                       </w:t>
    </w:r>
  </w:p>
  <w:p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37D3D"/>
    <w:multiLevelType w:val="hybridMultilevel"/>
    <w:tmpl w:val="A238B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91B5E"/>
    <w:multiLevelType w:val="hybridMultilevel"/>
    <w:tmpl w:val="E2CEA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32D32"/>
    <w:multiLevelType w:val="hybridMultilevel"/>
    <w:tmpl w:val="799CEC4C"/>
    <w:lvl w:ilvl="0" w:tplc="4F084D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50651"/>
    <w:multiLevelType w:val="hybridMultilevel"/>
    <w:tmpl w:val="574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6F25E0"/>
    <w:multiLevelType w:val="hybridMultilevel"/>
    <w:tmpl w:val="3F46C164"/>
    <w:lvl w:ilvl="0" w:tplc="4DE00CA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D448DC"/>
    <w:multiLevelType w:val="hybridMultilevel"/>
    <w:tmpl w:val="AFB66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B36B9"/>
    <w:multiLevelType w:val="hybridMultilevel"/>
    <w:tmpl w:val="0CB02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B032C04"/>
    <w:multiLevelType w:val="hybridMultilevel"/>
    <w:tmpl w:val="D84C6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287E42"/>
    <w:multiLevelType w:val="hybridMultilevel"/>
    <w:tmpl w:val="DE2CF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EF48E7"/>
    <w:multiLevelType w:val="hybridMultilevel"/>
    <w:tmpl w:val="2B74890C"/>
    <w:lvl w:ilvl="0" w:tplc="08A610C8">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F252A18"/>
    <w:multiLevelType w:val="hybridMultilevel"/>
    <w:tmpl w:val="0E30B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15517CA"/>
    <w:multiLevelType w:val="hybridMultilevel"/>
    <w:tmpl w:val="2CCCF2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274EA3"/>
    <w:multiLevelType w:val="hybridMultilevel"/>
    <w:tmpl w:val="9D4AC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26A37"/>
    <w:multiLevelType w:val="hybridMultilevel"/>
    <w:tmpl w:val="321CC356"/>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1F650F71"/>
    <w:multiLevelType w:val="hybridMultilevel"/>
    <w:tmpl w:val="0B5E7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2227D4"/>
    <w:multiLevelType w:val="hybridMultilevel"/>
    <w:tmpl w:val="47E0D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5C53825"/>
    <w:multiLevelType w:val="hybridMultilevel"/>
    <w:tmpl w:val="65E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F107B0"/>
    <w:multiLevelType w:val="hybridMultilevel"/>
    <w:tmpl w:val="43E0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D3825"/>
    <w:multiLevelType w:val="hybridMultilevel"/>
    <w:tmpl w:val="5C56E4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653551"/>
    <w:multiLevelType w:val="hybridMultilevel"/>
    <w:tmpl w:val="2A2E7BEC"/>
    <w:lvl w:ilvl="0" w:tplc="04090017">
      <w:start w:val="1"/>
      <w:numFmt w:val="lowerLetter"/>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6A140F"/>
    <w:multiLevelType w:val="hybridMultilevel"/>
    <w:tmpl w:val="D9285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D81624"/>
    <w:multiLevelType w:val="hybridMultilevel"/>
    <w:tmpl w:val="CCBAA020"/>
    <w:lvl w:ilvl="0" w:tplc="A16AEF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93A2141"/>
    <w:multiLevelType w:val="hybridMultilevel"/>
    <w:tmpl w:val="B4D620F2"/>
    <w:lvl w:ilvl="0" w:tplc="707243F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26718F"/>
    <w:multiLevelType w:val="hybridMultilevel"/>
    <w:tmpl w:val="8BEA1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0E1B64"/>
    <w:multiLevelType w:val="hybridMultilevel"/>
    <w:tmpl w:val="4CCCB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F311B"/>
    <w:multiLevelType w:val="hybridMultilevel"/>
    <w:tmpl w:val="CF6C0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5C0C38"/>
    <w:multiLevelType w:val="hybridMultilevel"/>
    <w:tmpl w:val="0A8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664862"/>
    <w:multiLevelType w:val="hybridMultilevel"/>
    <w:tmpl w:val="57421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062D05"/>
    <w:multiLevelType w:val="hybridMultilevel"/>
    <w:tmpl w:val="3DCE767A"/>
    <w:lvl w:ilvl="0" w:tplc="80748394">
      <w:start w:val="1"/>
      <w:numFmt w:val="bullet"/>
      <w:lvlText w:val=""/>
      <w:lvlJc w:val="left"/>
      <w:pPr>
        <w:ind w:left="720" w:hanging="360"/>
      </w:pPr>
      <w:rPr>
        <w:rFonts w:ascii="Symbol" w:hAnsi="Symbol"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144F29"/>
    <w:multiLevelType w:val="hybridMultilevel"/>
    <w:tmpl w:val="9678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81180E"/>
    <w:multiLevelType w:val="hybridMultilevel"/>
    <w:tmpl w:val="32B2489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B72E55"/>
    <w:multiLevelType w:val="hybridMultilevel"/>
    <w:tmpl w:val="73DE9170"/>
    <w:lvl w:ilvl="0" w:tplc="231647A8">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DBA5FBA"/>
    <w:multiLevelType w:val="hybridMultilevel"/>
    <w:tmpl w:val="DA4649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CF69CA"/>
    <w:multiLevelType w:val="hybridMultilevel"/>
    <w:tmpl w:val="84982C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12344CA"/>
    <w:multiLevelType w:val="hybridMultilevel"/>
    <w:tmpl w:val="4348916C"/>
    <w:lvl w:ilvl="0" w:tplc="D5CA51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5" w15:restartNumberingAfterBreak="0">
    <w:nsid w:val="63243576"/>
    <w:multiLevelType w:val="hybridMultilevel"/>
    <w:tmpl w:val="2092C93C"/>
    <w:lvl w:ilvl="0" w:tplc="D5CA518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6" w15:restartNumberingAfterBreak="0">
    <w:nsid w:val="636849E6"/>
    <w:multiLevelType w:val="hybridMultilevel"/>
    <w:tmpl w:val="507890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5675EF7"/>
    <w:multiLevelType w:val="hybridMultilevel"/>
    <w:tmpl w:val="0B3089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5F0A31"/>
    <w:multiLevelType w:val="hybridMultilevel"/>
    <w:tmpl w:val="16F2867C"/>
    <w:lvl w:ilvl="0" w:tplc="A6689164">
      <w:start w:val="1"/>
      <w:numFmt w:val="lowerRoman"/>
      <w:lvlText w:val="%1."/>
      <w:lvlJc w:val="left"/>
      <w:pPr>
        <w:ind w:left="1800" w:hanging="720"/>
      </w:pPr>
      <w:rPr>
        <w:rFonts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79B6AAB"/>
    <w:multiLevelType w:val="hybridMultilevel"/>
    <w:tmpl w:val="B0A2E5EE"/>
    <w:lvl w:ilvl="0" w:tplc="D3A274DC">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8B07163"/>
    <w:multiLevelType w:val="hybridMultilevel"/>
    <w:tmpl w:val="E11A5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4714D2"/>
    <w:multiLevelType w:val="hybridMultilevel"/>
    <w:tmpl w:val="EB6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932A4"/>
    <w:multiLevelType w:val="hybridMultilevel"/>
    <w:tmpl w:val="DF566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E0540"/>
    <w:multiLevelType w:val="hybridMultilevel"/>
    <w:tmpl w:val="6E567CE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40"/>
    <w:multiLevelType w:val="hybridMultilevel"/>
    <w:tmpl w:val="3246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366551E"/>
    <w:multiLevelType w:val="hybridMultilevel"/>
    <w:tmpl w:val="8FEE0E14"/>
    <w:lvl w:ilvl="0" w:tplc="74C63DC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133A2A"/>
    <w:multiLevelType w:val="hybridMultilevel"/>
    <w:tmpl w:val="5A5CCF3A"/>
    <w:lvl w:ilvl="0" w:tplc="A05C7928">
      <w:start w:val="1"/>
      <w:numFmt w:val="decimal"/>
      <w:lvlText w:val="%1."/>
      <w:lvlJc w:val="left"/>
      <w:pPr>
        <w:ind w:left="360" w:hanging="360"/>
      </w:pPr>
      <w:rPr>
        <w:rFonts w:hint="default"/>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616701F"/>
    <w:multiLevelType w:val="hybridMultilevel"/>
    <w:tmpl w:val="29F853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ED2CD5"/>
    <w:multiLevelType w:val="hybridMultilevel"/>
    <w:tmpl w:val="38A4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054863"/>
    <w:multiLevelType w:val="hybridMultilevel"/>
    <w:tmpl w:val="6A42EACE"/>
    <w:lvl w:ilvl="0" w:tplc="04090001">
      <w:start w:val="1"/>
      <w:numFmt w:val="bullet"/>
      <w:lvlText w:val=""/>
      <w:lvlJc w:val="left"/>
      <w:pPr>
        <w:ind w:left="837" w:hanging="360"/>
      </w:pPr>
      <w:rPr>
        <w:rFonts w:ascii="Symbol" w:hAnsi="Symbol" w:hint="default"/>
      </w:rPr>
    </w:lvl>
    <w:lvl w:ilvl="1" w:tplc="04090003" w:tentative="1">
      <w:start w:val="1"/>
      <w:numFmt w:val="bullet"/>
      <w:lvlText w:val="o"/>
      <w:lvlJc w:val="left"/>
      <w:pPr>
        <w:ind w:left="1557" w:hanging="360"/>
      </w:pPr>
      <w:rPr>
        <w:rFonts w:ascii="Courier New" w:hAnsi="Courier New" w:cs="Courier New" w:hint="default"/>
      </w:rPr>
    </w:lvl>
    <w:lvl w:ilvl="2" w:tplc="04090005" w:tentative="1">
      <w:start w:val="1"/>
      <w:numFmt w:val="bullet"/>
      <w:lvlText w:val=""/>
      <w:lvlJc w:val="left"/>
      <w:pPr>
        <w:ind w:left="2277" w:hanging="360"/>
      </w:pPr>
      <w:rPr>
        <w:rFonts w:ascii="Wingdings" w:hAnsi="Wingdings" w:hint="default"/>
      </w:rPr>
    </w:lvl>
    <w:lvl w:ilvl="3" w:tplc="04090001" w:tentative="1">
      <w:start w:val="1"/>
      <w:numFmt w:val="bullet"/>
      <w:lvlText w:val=""/>
      <w:lvlJc w:val="left"/>
      <w:pPr>
        <w:ind w:left="2997" w:hanging="360"/>
      </w:pPr>
      <w:rPr>
        <w:rFonts w:ascii="Symbol" w:hAnsi="Symbol" w:hint="default"/>
      </w:rPr>
    </w:lvl>
    <w:lvl w:ilvl="4" w:tplc="04090003" w:tentative="1">
      <w:start w:val="1"/>
      <w:numFmt w:val="bullet"/>
      <w:lvlText w:val="o"/>
      <w:lvlJc w:val="left"/>
      <w:pPr>
        <w:ind w:left="3717" w:hanging="360"/>
      </w:pPr>
      <w:rPr>
        <w:rFonts w:ascii="Courier New" w:hAnsi="Courier New" w:cs="Courier New" w:hint="default"/>
      </w:rPr>
    </w:lvl>
    <w:lvl w:ilvl="5" w:tplc="04090005" w:tentative="1">
      <w:start w:val="1"/>
      <w:numFmt w:val="bullet"/>
      <w:lvlText w:val=""/>
      <w:lvlJc w:val="left"/>
      <w:pPr>
        <w:ind w:left="4437" w:hanging="360"/>
      </w:pPr>
      <w:rPr>
        <w:rFonts w:ascii="Wingdings" w:hAnsi="Wingdings" w:hint="default"/>
      </w:rPr>
    </w:lvl>
    <w:lvl w:ilvl="6" w:tplc="04090001" w:tentative="1">
      <w:start w:val="1"/>
      <w:numFmt w:val="bullet"/>
      <w:lvlText w:val=""/>
      <w:lvlJc w:val="left"/>
      <w:pPr>
        <w:ind w:left="5157" w:hanging="360"/>
      </w:pPr>
      <w:rPr>
        <w:rFonts w:ascii="Symbol" w:hAnsi="Symbol" w:hint="default"/>
      </w:rPr>
    </w:lvl>
    <w:lvl w:ilvl="7" w:tplc="04090003" w:tentative="1">
      <w:start w:val="1"/>
      <w:numFmt w:val="bullet"/>
      <w:lvlText w:val="o"/>
      <w:lvlJc w:val="left"/>
      <w:pPr>
        <w:ind w:left="5877" w:hanging="360"/>
      </w:pPr>
      <w:rPr>
        <w:rFonts w:ascii="Courier New" w:hAnsi="Courier New" w:cs="Courier New" w:hint="default"/>
      </w:rPr>
    </w:lvl>
    <w:lvl w:ilvl="8" w:tplc="04090005" w:tentative="1">
      <w:start w:val="1"/>
      <w:numFmt w:val="bullet"/>
      <w:lvlText w:val=""/>
      <w:lvlJc w:val="left"/>
      <w:pPr>
        <w:ind w:left="6597" w:hanging="360"/>
      </w:pPr>
      <w:rPr>
        <w:rFonts w:ascii="Wingdings" w:hAnsi="Wingdings" w:hint="default"/>
      </w:rPr>
    </w:lvl>
  </w:abstractNum>
  <w:num w:numId="1">
    <w:abstractNumId w:val="18"/>
  </w:num>
  <w:num w:numId="2">
    <w:abstractNumId w:val="45"/>
  </w:num>
  <w:num w:numId="3">
    <w:abstractNumId w:val="42"/>
  </w:num>
  <w:num w:numId="4">
    <w:abstractNumId w:val="22"/>
  </w:num>
  <w:num w:numId="5">
    <w:abstractNumId w:val="26"/>
  </w:num>
  <w:num w:numId="6">
    <w:abstractNumId w:val="5"/>
  </w:num>
  <w:num w:numId="7">
    <w:abstractNumId w:val="28"/>
  </w:num>
  <w:num w:numId="8">
    <w:abstractNumId w:val="49"/>
  </w:num>
  <w:num w:numId="9">
    <w:abstractNumId w:val="25"/>
  </w:num>
  <w:num w:numId="10">
    <w:abstractNumId w:val="7"/>
  </w:num>
  <w:num w:numId="11">
    <w:abstractNumId w:val="0"/>
  </w:num>
  <w:num w:numId="12">
    <w:abstractNumId w:val="14"/>
  </w:num>
  <w:num w:numId="13">
    <w:abstractNumId w:val="41"/>
  </w:num>
  <w:num w:numId="14">
    <w:abstractNumId w:val="32"/>
  </w:num>
  <w:num w:numId="15">
    <w:abstractNumId w:val="44"/>
  </w:num>
  <w:num w:numId="16">
    <w:abstractNumId w:val="11"/>
  </w:num>
  <w:num w:numId="17">
    <w:abstractNumId w:val="15"/>
  </w:num>
  <w:num w:numId="18">
    <w:abstractNumId w:val="6"/>
  </w:num>
  <w:num w:numId="19">
    <w:abstractNumId w:val="47"/>
  </w:num>
  <w:num w:numId="20">
    <w:abstractNumId w:val="10"/>
  </w:num>
  <w:num w:numId="21">
    <w:abstractNumId w:val="33"/>
  </w:num>
  <w:num w:numId="22">
    <w:abstractNumId w:val="30"/>
  </w:num>
  <w:num w:numId="23">
    <w:abstractNumId w:val="19"/>
  </w:num>
  <w:num w:numId="24">
    <w:abstractNumId w:val="46"/>
  </w:num>
  <w:num w:numId="25">
    <w:abstractNumId w:val="39"/>
  </w:num>
  <w:num w:numId="26">
    <w:abstractNumId w:val="2"/>
  </w:num>
  <w:num w:numId="27">
    <w:abstractNumId w:val="4"/>
  </w:num>
  <w:num w:numId="28">
    <w:abstractNumId w:val="31"/>
  </w:num>
  <w:num w:numId="29">
    <w:abstractNumId w:val="9"/>
  </w:num>
  <w:num w:numId="30">
    <w:abstractNumId w:val="38"/>
  </w:num>
  <w:num w:numId="31">
    <w:abstractNumId w:val="24"/>
  </w:num>
  <w:num w:numId="32">
    <w:abstractNumId w:val="43"/>
  </w:num>
  <w:num w:numId="33">
    <w:abstractNumId w:val="48"/>
  </w:num>
  <w:num w:numId="34">
    <w:abstractNumId w:val="16"/>
  </w:num>
  <w:num w:numId="35">
    <w:abstractNumId w:val="17"/>
  </w:num>
  <w:num w:numId="36">
    <w:abstractNumId w:val="13"/>
  </w:num>
  <w:num w:numId="37">
    <w:abstractNumId w:val="12"/>
  </w:num>
  <w:num w:numId="38">
    <w:abstractNumId w:val="37"/>
  </w:num>
  <w:num w:numId="39">
    <w:abstractNumId w:val="21"/>
  </w:num>
  <w:num w:numId="40">
    <w:abstractNumId w:val="1"/>
  </w:num>
  <w:num w:numId="41">
    <w:abstractNumId w:val="8"/>
  </w:num>
  <w:num w:numId="42">
    <w:abstractNumId w:val="40"/>
  </w:num>
  <w:num w:numId="43">
    <w:abstractNumId w:val="27"/>
  </w:num>
  <w:num w:numId="44">
    <w:abstractNumId w:val="34"/>
  </w:num>
  <w:num w:numId="45">
    <w:abstractNumId w:val="3"/>
  </w:num>
  <w:num w:numId="46">
    <w:abstractNumId w:val="35"/>
  </w:num>
  <w:num w:numId="47">
    <w:abstractNumId w:val="36"/>
  </w:num>
  <w:num w:numId="48">
    <w:abstractNumId w:val="29"/>
  </w:num>
  <w:num w:numId="49">
    <w:abstractNumId w:val="20"/>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5ECF"/>
    <w:rsid w:val="00055320"/>
    <w:rsid w:val="00090C74"/>
    <w:rsid w:val="000969A3"/>
    <w:rsid w:val="000C4C60"/>
    <w:rsid w:val="000C6D9D"/>
    <w:rsid w:val="000D04C8"/>
    <w:rsid w:val="000D52AC"/>
    <w:rsid w:val="000E1E6A"/>
    <w:rsid w:val="000F2A2C"/>
    <w:rsid w:val="001056AC"/>
    <w:rsid w:val="001071AC"/>
    <w:rsid w:val="001215D7"/>
    <w:rsid w:val="00123E96"/>
    <w:rsid w:val="00125C1A"/>
    <w:rsid w:val="00131C86"/>
    <w:rsid w:val="0014186A"/>
    <w:rsid w:val="00143EAC"/>
    <w:rsid w:val="001511F9"/>
    <w:rsid w:val="00151D12"/>
    <w:rsid w:val="00163DD9"/>
    <w:rsid w:val="001657D1"/>
    <w:rsid w:val="00174B23"/>
    <w:rsid w:val="001812AD"/>
    <w:rsid w:val="00182598"/>
    <w:rsid w:val="00183C71"/>
    <w:rsid w:val="0018509E"/>
    <w:rsid w:val="00194FA8"/>
    <w:rsid w:val="001A19DD"/>
    <w:rsid w:val="001A28B9"/>
    <w:rsid w:val="001A6CBC"/>
    <w:rsid w:val="001B60C8"/>
    <w:rsid w:val="001D1593"/>
    <w:rsid w:val="001D3520"/>
    <w:rsid w:val="001D3870"/>
    <w:rsid w:val="00200030"/>
    <w:rsid w:val="00200599"/>
    <w:rsid w:val="0020421D"/>
    <w:rsid w:val="002118AE"/>
    <w:rsid w:val="0022055B"/>
    <w:rsid w:val="00221827"/>
    <w:rsid w:val="002220B2"/>
    <w:rsid w:val="00234311"/>
    <w:rsid w:val="00237419"/>
    <w:rsid w:val="002410E8"/>
    <w:rsid w:val="002470A1"/>
    <w:rsid w:val="00262D07"/>
    <w:rsid w:val="00271DC0"/>
    <w:rsid w:val="00274E9E"/>
    <w:rsid w:val="00295D98"/>
    <w:rsid w:val="002B3924"/>
    <w:rsid w:val="002E0DC3"/>
    <w:rsid w:val="003226CB"/>
    <w:rsid w:val="0033787D"/>
    <w:rsid w:val="003524CC"/>
    <w:rsid w:val="0039572C"/>
    <w:rsid w:val="003B0DB5"/>
    <w:rsid w:val="003B3F46"/>
    <w:rsid w:val="003B7519"/>
    <w:rsid w:val="003C1017"/>
    <w:rsid w:val="003C7F56"/>
    <w:rsid w:val="003D630C"/>
    <w:rsid w:val="003E50C5"/>
    <w:rsid w:val="003F7BE6"/>
    <w:rsid w:val="00401BDD"/>
    <w:rsid w:val="00401EEB"/>
    <w:rsid w:val="00403E23"/>
    <w:rsid w:val="00403ED0"/>
    <w:rsid w:val="00406EB8"/>
    <w:rsid w:val="00407FFC"/>
    <w:rsid w:val="004140CB"/>
    <w:rsid w:val="00414652"/>
    <w:rsid w:val="004201F7"/>
    <w:rsid w:val="00423E51"/>
    <w:rsid w:val="00426FC8"/>
    <w:rsid w:val="00432EA0"/>
    <w:rsid w:val="004340F2"/>
    <w:rsid w:val="00445104"/>
    <w:rsid w:val="00453D9C"/>
    <w:rsid w:val="00457EDB"/>
    <w:rsid w:val="0047397B"/>
    <w:rsid w:val="004761E2"/>
    <w:rsid w:val="00483896"/>
    <w:rsid w:val="004924F6"/>
    <w:rsid w:val="004A17AF"/>
    <w:rsid w:val="004B45DA"/>
    <w:rsid w:val="004C3629"/>
    <w:rsid w:val="004E6503"/>
    <w:rsid w:val="004E704B"/>
    <w:rsid w:val="00505BA9"/>
    <w:rsid w:val="00507A57"/>
    <w:rsid w:val="00512389"/>
    <w:rsid w:val="005361EC"/>
    <w:rsid w:val="00540A99"/>
    <w:rsid w:val="00566758"/>
    <w:rsid w:val="005861A0"/>
    <w:rsid w:val="005B075B"/>
    <w:rsid w:val="005B0793"/>
    <w:rsid w:val="005B3B52"/>
    <w:rsid w:val="005D78CD"/>
    <w:rsid w:val="005E482B"/>
    <w:rsid w:val="005E5B0E"/>
    <w:rsid w:val="005F0C16"/>
    <w:rsid w:val="005F379F"/>
    <w:rsid w:val="00616B4D"/>
    <w:rsid w:val="00624FF3"/>
    <w:rsid w:val="00637BCF"/>
    <w:rsid w:val="006502DF"/>
    <w:rsid w:val="00654DF4"/>
    <w:rsid w:val="00657831"/>
    <w:rsid w:val="00667401"/>
    <w:rsid w:val="00667A83"/>
    <w:rsid w:val="006706FA"/>
    <w:rsid w:val="00673781"/>
    <w:rsid w:val="00674612"/>
    <w:rsid w:val="00685C25"/>
    <w:rsid w:val="006A45A1"/>
    <w:rsid w:val="006A58B1"/>
    <w:rsid w:val="006B469B"/>
    <w:rsid w:val="006B55DB"/>
    <w:rsid w:val="006C3F79"/>
    <w:rsid w:val="006C47B6"/>
    <w:rsid w:val="006C784E"/>
    <w:rsid w:val="006E6722"/>
    <w:rsid w:val="006E692B"/>
    <w:rsid w:val="006F2509"/>
    <w:rsid w:val="00723BC7"/>
    <w:rsid w:val="00735649"/>
    <w:rsid w:val="0073736B"/>
    <w:rsid w:val="007402F4"/>
    <w:rsid w:val="00747AA2"/>
    <w:rsid w:val="00750CEC"/>
    <w:rsid w:val="007634C3"/>
    <w:rsid w:val="00765B53"/>
    <w:rsid w:val="007737BB"/>
    <w:rsid w:val="007746C0"/>
    <w:rsid w:val="00793945"/>
    <w:rsid w:val="00795D88"/>
    <w:rsid w:val="007A6585"/>
    <w:rsid w:val="007B3CD3"/>
    <w:rsid w:val="007B45E5"/>
    <w:rsid w:val="007B55CB"/>
    <w:rsid w:val="007C7628"/>
    <w:rsid w:val="007C7EAE"/>
    <w:rsid w:val="007D4808"/>
    <w:rsid w:val="007D6F57"/>
    <w:rsid w:val="007E1897"/>
    <w:rsid w:val="007E3FA4"/>
    <w:rsid w:val="007F1B37"/>
    <w:rsid w:val="0080664C"/>
    <w:rsid w:val="0082622F"/>
    <w:rsid w:val="00834E84"/>
    <w:rsid w:val="00847C44"/>
    <w:rsid w:val="008606DF"/>
    <w:rsid w:val="00861EDF"/>
    <w:rsid w:val="00865F3E"/>
    <w:rsid w:val="0086649A"/>
    <w:rsid w:val="00867CBA"/>
    <w:rsid w:val="008747BA"/>
    <w:rsid w:val="0087498C"/>
    <w:rsid w:val="008842CF"/>
    <w:rsid w:val="008C571B"/>
    <w:rsid w:val="008F7CD4"/>
    <w:rsid w:val="00906915"/>
    <w:rsid w:val="0091211B"/>
    <w:rsid w:val="009206B3"/>
    <w:rsid w:val="00922337"/>
    <w:rsid w:val="009231B2"/>
    <w:rsid w:val="00950202"/>
    <w:rsid w:val="00953C27"/>
    <w:rsid w:val="0095662E"/>
    <w:rsid w:val="0098020E"/>
    <w:rsid w:val="00985756"/>
    <w:rsid w:val="00986E39"/>
    <w:rsid w:val="009C4BC6"/>
    <w:rsid w:val="009C5549"/>
    <w:rsid w:val="009D2F91"/>
    <w:rsid w:val="009D400B"/>
    <w:rsid w:val="009E5E0D"/>
    <w:rsid w:val="00A1596E"/>
    <w:rsid w:val="00A52752"/>
    <w:rsid w:val="00A61D5F"/>
    <w:rsid w:val="00A62DE8"/>
    <w:rsid w:val="00A65917"/>
    <w:rsid w:val="00A70C62"/>
    <w:rsid w:val="00A728CC"/>
    <w:rsid w:val="00A8256B"/>
    <w:rsid w:val="00A906AE"/>
    <w:rsid w:val="00A93C42"/>
    <w:rsid w:val="00AA1213"/>
    <w:rsid w:val="00AA6CA4"/>
    <w:rsid w:val="00AB3F51"/>
    <w:rsid w:val="00AD4B6F"/>
    <w:rsid w:val="00AD709F"/>
    <w:rsid w:val="00AE5F04"/>
    <w:rsid w:val="00B10132"/>
    <w:rsid w:val="00B13F81"/>
    <w:rsid w:val="00B16D34"/>
    <w:rsid w:val="00B17D4B"/>
    <w:rsid w:val="00B35978"/>
    <w:rsid w:val="00B44B60"/>
    <w:rsid w:val="00B57FD7"/>
    <w:rsid w:val="00B64B48"/>
    <w:rsid w:val="00B75FE0"/>
    <w:rsid w:val="00B86E64"/>
    <w:rsid w:val="00B904CE"/>
    <w:rsid w:val="00B94F97"/>
    <w:rsid w:val="00BB3D35"/>
    <w:rsid w:val="00BB6ABA"/>
    <w:rsid w:val="00BB7C12"/>
    <w:rsid w:val="00BC424B"/>
    <w:rsid w:val="00BC49AC"/>
    <w:rsid w:val="00BC7F18"/>
    <w:rsid w:val="00BD71F9"/>
    <w:rsid w:val="00BE7F01"/>
    <w:rsid w:val="00C02217"/>
    <w:rsid w:val="00C06578"/>
    <w:rsid w:val="00C2545E"/>
    <w:rsid w:val="00C31FDF"/>
    <w:rsid w:val="00C35E84"/>
    <w:rsid w:val="00C37602"/>
    <w:rsid w:val="00C4361F"/>
    <w:rsid w:val="00C44891"/>
    <w:rsid w:val="00C46831"/>
    <w:rsid w:val="00C562FB"/>
    <w:rsid w:val="00C6448B"/>
    <w:rsid w:val="00C71669"/>
    <w:rsid w:val="00C8309D"/>
    <w:rsid w:val="00C94BE7"/>
    <w:rsid w:val="00CA6247"/>
    <w:rsid w:val="00CB635D"/>
    <w:rsid w:val="00CC5510"/>
    <w:rsid w:val="00CD5C86"/>
    <w:rsid w:val="00CD6610"/>
    <w:rsid w:val="00CE70B7"/>
    <w:rsid w:val="00D119EC"/>
    <w:rsid w:val="00D16890"/>
    <w:rsid w:val="00D23D8A"/>
    <w:rsid w:val="00D251BF"/>
    <w:rsid w:val="00D31FEC"/>
    <w:rsid w:val="00D3532F"/>
    <w:rsid w:val="00D36ACF"/>
    <w:rsid w:val="00D37224"/>
    <w:rsid w:val="00D555AD"/>
    <w:rsid w:val="00D66E12"/>
    <w:rsid w:val="00D95D82"/>
    <w:rsid w:val="00DA155F"/>
    <w:rsid w:val="00DA4049"/>
    <w:rsid w:val="00DC4B70"/>
    <w:rsid w:val="00DC507F"/>
    <w:rsid w:val="00DD3D4C"/>
    <w:rsid w:val="00DD5D07"/>
    <w:rsid w:val="00DE4042"/>
    <w:rsid w:val="00DF347A"/>
    <w:rsid w:val="00E124F8"/>
    <w:rsid w:val="00E36755"/>
    <w:rsid w:val="00E42B5B"/>
    <w:rsid w:val="00E53209"/>
    <w:rsid w:val="00E54BD1"/>
    <w:rsid w:val="00E6169E"/>
    <w:rsid w:val="00E7364D"/>
    <w:rsid w:val="00E7754D"/>
    <w:rsid w:val="00E81451"/>
    <w:rsid w:val="00EA508E"/>
    <w:rsid w:val="00EA5114"/>
    <w:rsid w:val="00EA6AFA"/>
    <w:rsid w:val="00EB35C9"/>
    <w:rsid w:val="00EC055E"/>
    <w:rsid w:val="00ED2208"/>
    <w:rsid w:val="00ED3E98"/>
    <w:rsid w:val="00EF2609"/>
    <w:rsid w:val="00EF32F0"/>
    <w:rsid w:val="00F334B6"/>
    <w:rsid w:val="00F528B1"/>
    <w:rsid w:val="00F574DA"/>
    <w:rsid w:val="00F6054E"/>
    <w:rsid w:val="00F65553"/>
    <w:rsid w:val="00FA6646"/>
    <w:rsid w:val="00FC3B9F"/>
    <w:rsid w:val="00FC4C48"/>
    <w:rsid w:val="00FE432E"/>
    <w:rsid w:val="00FE5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EAFDE4"/>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4476E-A155-4950-86F3-174F8787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Ashley Mathers</cp:lastModifiedBy>
  <cp:revision>4</cp:revision>
  <cp:lastPrinted>2018-10-02T15:04:00Z</cp:lastPrinted>
  <dcterms:created xsi:type="dcterms:W3CDTF">2019-04-22T14:17:00Z</dcterms:created>
  <dcterms:modified xsi:type="dcterms:W3CDTF">2019-05-28T19:39:00Z</dcterms:modified>
</cp:coreProperties>
</file>