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22"/>
        <w:tblW w:w="0" w:type="auto"/>
        <w:tblLook w:val="04A0" w:firstRow="1" w:lastRow="0" w:firstColumn="1" w:lastColumn="0" w:noHBand="0" w:noVBand="1"/>
      </w:tblPr>
      <w:tblGrid>
        <w:gridCol w:w="1620"/>
        <w:gridCol w:w="1795"/>
      </w:tblGrid>
      <w:tr w:rsidR="00E91E31" w:rsidRPr="00E91E31" w14:paraId="2E4554D5" w14:textId="77777777" w:rsidTr="00E91E31">
        <w:tc>
          <w:tcPr>
            <w:tcW w:w="1620" w:type="dxa"/>
          </w:tcPr>
          <w:p w14:paraId="3822DF07" w14:textId="77777777" w:rsidR="00E91E31" w:rsidRPr="00E91E31" w:rsidRDefault="00E91E31" w:rsidP="00E91E31">
            <w:pPr>
              <w:rPr>
                <w:rFonts w:ascii="Arial" w:hAnsi="Arial" w:cs="Arial"/>
                <w:sz w:val="20"/>
                <w:szCs w:val="20"/>
              </w:rPr>
            </w:pPr>
            <w:r w:rsidRPr="00E91E31">
              <w:rPr>
                <w:rFonts w:ascii="Arial" w:hAnsi="Arial" w:cs="Arial"/>
                <w:sz w:val="20"/>
                <w:szCs w:val="20"/>
              </w:rPr>
              <w:t xml:space="preserve">Policy No. </w:t>
            </w:r>
          </w:p>
        </w:tc>
        <w:tc>
          <w:tcPr>
            <w:tcW w:w="1795" w:type="dxa"/>
          </w:tcPr>
          <w:p w14:paraId="2CD2CE69" w14:textId="106832D0" w:rsidR="00E91E31" w:rsidRPr="00F53B2A" w:rsidRDefault="00E97B24" w:rsidP="00E91E31">
            <w:pPr>
              <w:rPr>
                <w:rFonts w:ascii="Arial" w:hAnsi="Arial" w:cs="Arial"/>
                <w:sz w:val="72"/>
                <w:szCs w:val="72"/>
              </w:rPr>
            </w:pPr>
            <w:r>
              <w:rPr>
                <w:rFonts w:ascii="Montserrat-Bold" w:hAnsi="Montserrat-Bold" w:cs="Montserrat-Bold"/>
                <w:b/>
                <w:bCs/>
                <w:color w:val="BB1F53"/>
                <w:sz w:val="72"/>
                <w:szCs w:val="72"/>
              </w:rPr>
              <w:t>26</w:t>
            </w:r>
          </w:p>
        </w:tc>
      </w:tr>
      <w:tr w:rsidR="00E91E31" w:rsidRPr="00E91E31" w14:paraId="4F7C68DE" w14:textId="77777777" w:rsidTr="00E91E31">
        <w:tc>
          <w:tcPr>
            <w:tcW w:w="1620" w:type="dxa"/>
          </w:tcPr>
          <w:p w14:paraId="34D43C2E" w14:textId="77777777" w:rsidR="00E91E31" w:rsidRPr="00E91E31" w:rsidRDefault="00E91E31" w:rsidP="00E91E31">
            <w:pPr>
              <w:rPr>
                <w:rFonts w:ascii="Arial" w:hAnsi="Arial" w:cs="Arial"/>
                <w:sz w:val="20"/>
                <w:szCs w:val="20"/>
              </w:rPr>
            </w:pPr>
            <w:r w:rsidRPr="00E91E31">
              <w:rPr>
                <w:rFonts w:ascii="Arial" w:hAnsi="Arial" w:cs="Arial"/>
                <w:sz w:val="20"/>
                <w:szCs w:val="20"/>
              </w:rPr>
              <w:t>Effective Date</w:t>
            </w:r>
          </w:p>
        </w:tc>
        <w:tc>
          <w:tcPr>
            <w:tcW w:w="1795" w:type="dxa"/>
          </w:tcPr>
          <w:p w14:paraId="4D159185" w14:textId="77777777" w:rsidR="00E91E31" w:rsidRPr="00E91E31" w:rsidRDefault="00E91E31" w:rsidP="00E91E31">
            <w:pPr>
              <w:rPr>
                <w:rFonts w:ascii="Arial" w:hAnsi="Arial" w:cs="Arial"/>
                <w:sz w:val="20"/>
                <w:szCs w:val="20"/>
              </w:rPr>
            </w:pPr>
            <w:r w:rsidRPr="00E91E31">
              <w:rPr>
                <w:rFonts w:ascii="Arial" w:hAnsi="Arial" w:cs="Arial"/>
                <w:sz w:val="20"/>
                <w:szCs w:val="20"/>
              </w:rPr>
              <w:t>1/18/2018</w:t>
            </w:r>
          </w:p>
        </w:tc>
      </w:tr>
      <w:tr w:rsidR="00E91E31" w:rsidRPr="00E91E31" w14:paraId="72376433" w14:textId="77777777" w:rsidTr="00E91E31">
        <w:tc>
          <w:tcPr>
            <w:tcW w:w="1620" w:type="dxa"/>
          </w:tcPr>
          <w:p w14:paraId="72CFE669" w14:textId="77777777" w:rsidR="00E91E31" w:rsidRPr="00E91E31" w:rsidRDefault="00E91E31" w:rsidP="00E91E31">
            <w:pPr>
              <w:rPr>
                <w:rFonts w:ascii="Arial" w:hAnsi="Arial" w:cs="Arial"/>
                <w:sz w:val="20"/>
                <w:szCs w:val="20"/>
              </w:rPr>
            </w:pPr>
            <w:r w:rsidRPr="00E91E31">
              <w:rPr>
                <w:rFonts w:ascii="Arial" w:hAnsi="Arial" w:cs="Arial"/>
                <w:sz w:val="20"/>
                <w:szCs w:val="20"/>
              </w:rPr>
              <w:t xml:space="preserve">Supersedes </w:t>
            </w:r>
          </w:p>
        </w:tc>
        <w:tc>
          <w:tcPr>
            <w:tcW w:w="1795" w:type="dxa"/>
          </w:tcPr>
          <w:p w14:paraId="2CC73B36" w14:textId="77777777" w:rsidR="00E91E31" w:rsidRPr="00E91E31" w:rsidRDefault="00E91E31" w:rsidP="00E91E31">
            <w:pPr>
              <w:rPr>
                <w:rFonts w:ascii="Arial" w:hAnsi="Arial" w:cs="Arial"/>
                <w:sz w:val="20"/>
                <w:szCs w:val="20"/>
              </w:rPr>
            </w:pPr>
          </w:p>
        </w:tc>
      </w:tr>
      <w:tr w:rsidR="00E91E31" w:rsidRPr="00E91E31" w14:paraId="75F43005" w14:textId="77777777" w:rsidTr="00E91E31">
        <w:tc>
          <w:tcPr>
            <w:tcW w:w="1620" w:type="dxa"/>
          </w:tcPr>
          <w:p w14:paraId="520BF3B5" w14:textId="77777777" w:rsidR="00E91E31" w:rsidRPr="00E91E31" w:rsidRDefault="00E91E31" w:rsidP="00E91E31">
            <w:pPr>
              <w:rPr>
                <w:rFonts w:ascii="Arial" w:hAnsi="Arial" w:cs="Arial"/>
                <w:sz w:val="20"/>
                <w:szCs w:val="20"/>
              </w:rPr>
            </w:pPr>
            <w:r w:rsidRPr="00E91E31">
              <w:rPr>
                <w:rFonts w:ascii="Arial" w:hAnsi="Arial" w:cs="Arial"/>
                <w:sz w:val="20"/>
                <w:szCs w:val="20"/>
              </w:rPr>
              <w:t>Revision Date</w:t>
            </w:r>
          </w:p>
        </w:tc>
        <w:tc>
          <w:tcPr>
            <w:tcW w:w="1795" w:type="dxa"/>
          </w:tcPr>
          <w:p w14:paraId="2F915846" w14:textId="77777777" w:rsidR="00E91E31" w:rsidRPr="00E91E31" w:rsidRDefault="00E91E31" w:rsidP="00E91E31">
            <w:pPr>
              <w:rPr>
                <w:rFonts w:ascii="Arial" w:hAnsi="Arial" w:cs="Arial"/>
                <w:sz w:val="20"/>
                <w:szCs w:val="20"/>
              </w:rPr>
            </w:pPr>
          </w:p>
        </w:tc>
      </w:tr>
      <w:tr w:rsidR="00E91E31" w:rsidRPr="00E91E31" w14:paraId="3473EB44" w14:textId="77777777" w:rsidTr="00E91E31">
        <w:tc>
          <w:tcPr>
            <w:tcW w:w="1620" w:type="dxa"/>
          </w:tcPr>
          <w:p w14:paraId="33E331AB" w14:textId="77777777" w:rsidR="00E91E31" w:rsidRPr="00E91E31" w:rsidRDefault="00E91E31" w:rsidP="00E91E31">
            <w:pPr>
              <w:rPr>
                <w:rFonts w:ascii="Arial" w:hAnsi="Arial" w:cs="Arial"/>
                <w:sz w:val="20"/>
                <w:szCs w:val="20"/>
              </w:rPr>
            </w:pPr>
            <w:r w:rsidRPr="00E91E31">
              <w:rPr>
                <w:rFonts w:ascii="Arial" w:hAnsi="Arial" w:cs="Arial"/>
                <w:sz w:val="20"/>
                <w:szCs w:val="20"/>
              </w:rPr>
              <w:t xml:space="preserve">Revision No. </w:t>
            </w:r>
          </w:p>
        </w:tc>
        <w:tc>
          <w:tcPr>
            <w:tcW w:w="1795" w:type="dxa"/>
          </w:tcPr>
          <w:p w14:paraId="2DF53EB8" w14:textId="77777777" w:rsidR="00E91E31" w:rsidRPr="00E91E31" w:rsidRDefault="00E91E31" w:rsidP="00E91E31">
            <w:pPr>
              <w:rPr>
                <w:rFonts w:ascii="Arial" w:hAnsi="Arial" w:cs="Arial"/>
                <w:sz w:val="20"/>
                <w:szCs w:val="20"/>
              </w:rPr>
            </w:pPr>
          </w:p>
        </w:tc>
      </w:tr>
      <w:tr w:rsidR="00E91E31" w:rsidRPr="00E91E31" w14:paraId="65C3ACF1" w14:textId="77777777" w:rsidTr="00E91E31">
        <w:tc>
          <w:tcPr>
            <w:tcW w:w="1620" w:type="dxa"/>
          </w:tcPr>
          <w:p w14:paraId="5E15620C" w14:textId="77777777" w:rsidR="00E91E31" w:rsidRPr="00E91E31" w:rsidRDefault="00E91E31" w:rsidP="00E91E31">
            <w:pPr>
              <w:rPr>
                <w:rFonts w:ascii="Arial" w:hAnsi="Arial" w:cs="Arial"/>
                <w:sz w:val="20"/>
                <w:szCs w:val="20"/>
              </w:rPr>
            </w:pPr>
            <w:r w:rsidRPr="00E91E31">
              <w:rPr>
                <w:rFonts w:ascii="Arial" w:hAnsi="Arial" w:cs="Arial"/>
                <w:sz w:val="20"/>
                <w:szCs w:val="20"/>
              </w:rPr>
              <w:t xml:space="preserve">Approval </w:t>
            </w:r>
          </w:p>
        </w:tc>
        <w:tc>
          <w:tcPr>
            <w:tcW w:w="1795" w:type="dxa"/>
          </w:tcPr>
          <w:p w14:paraId="755F5819" w14:textId="3D9A9460" w:rsidR="00E91E31" w:rsidRPr="00E91E31" w:rsidRDefault="00E91E31" w:rsidP="00E91E31">
            <w:pPr>
              <w:rPr>
                <w:rFonts w:ascii="Arial" w:hAnsi="Arial" w:cs="Arial"/>
                <w:sz w:val="20"/>
                <w:szCs w:val="20"/>
              </w:rPr>
            </w:pPr>
            <w:r w:rsidRPr="00E91E31">
              <w:rPr>
                <w:rFonts w:ascii="Arial" w:hAnsi="Arial" w:cs="Arial"/>
                <w:sz w:val="20"/>
                <w:szCs w:val="20"/>
              </w:rPr>
              <w:t xml:space="preserve">GNWDB </w:t>
            </w:r>
          </w:p>
        </w:tc>
      </w:tr>
    </w:tbl>
    <w:p w14:paraId="5F603F45" w14:textId="65EFC0F2" w:rsidR="00E91E31" w:rsidRPr="00F53B2A" w:rsidRDefault="00E95C74" w:rsidP="00537495">
      <w:pPr>
        <w:rPr>
          <w:rFonts w:ascii="Arial" w:hAnsi="Arial" w:cs="Arial"/>
          <w:b/>
          <w:bCs/>
          <w:color w:val="00607F"/>
          <w:sz w:val="48"/>
          <w:szCs w:val="48"/>
        </w:rPr>
      </w:pPr>
      <w:r>
        <w:rPr>
          <w:rFonts w:ascii="Arial" w:hAnsi="Arial" w:cs="Arial"/>
          <w:b/>
          <w:bCs/>
          <w:color w:val="00607F"/>
          <w:sz w:val="48"/>
          <w:szCs w:val="48"/>
        </w:rPr>
        <w:t xml:space="preserve">Mass Layoffs </w:t>
      </w:r>
    </w:p>
    <w:p w14:paraId="5E6088BD" w14:textId="5E7F05EF" w:rsidR="00E91E31" w:rsidRPr="00F53B2A" w:rsidRDefault="00E91E31" w:rsidP="00F53B2A">
      <w:pPr>
        <w:spacing w:line="259" w:lineRule="auto"/>
        <w:rPr>
          <w:rFonts w:ascii="Arial" w:hAnsi="Arial" w:cs="Arial"/>
          <w:b/>
          <w:bCs/>
          <w:sz w:val="20"/>
          <w:szCs w:val="20"/>
        </w:rPr>
      </w:pPr>
      <w:r w:rsidRPr="00F53B2A">
        <w:rPr>
          <w:rFonts w:ascii="Arial" w:hAnsi="Arial" w:cs="Arial"/>
          <w:b/>
          <w:bCs/>
          <w:sz w:val="20"/>
          <w:szCs w:val="20"/>
        </w:rPr>
        <w:t xml:space="preserve">Dislocated Worker Program Only </w:t>
      </w:r>
    </w:p>
    <w:p w14:paraId="203AD7A4" w14:textId="6DD4B702" w:rsidR="00E91E31" w:rsidRPr="00E91E31" w:rsidRDefault="00F53B2A" w:rsidP="00537495">
      <w:pPr>
        <w:rPr>
          <w:rFonts w:ascii="Arial" w:hAnsi="Arial" w:cs="Arial"/>
          <w:b/>
          <w:color w:val="000000" w:themeColor="text1"/>
          <w:sz w:val="24"/>
          <w:szCs w:val="24"/>
        </w:rPr>
      </w:pPr>
      <w:r>
        <w:rPr>
          <w:rFonts w:ascii="Arial" w:hAnsi="Arial" w:cs="Arial"/>
          <w:b/>
          <w:color w:val="000000" w:themeColor="text1"/>
          <w:sz w:val="24"/>
          <w:szCs w:val="24"/>
        </w:rPr>
        <w:t xml:space="preserve">Policy </w:t>
      </w:r>
      <w:r w:rsidR="00E91E31">
        <w:rPr>
          <w:rFonts w:ascii="Arial" w:hAnsi="Arial" w:cs="Arial"/>
          <w:b/>
          <w:color w:val="000000" w:themeColor="text1"/>
          <w:sz w:val="24"/>
          <w:szCs w:val="24"/>
        </w:rPr>
        <w:t xml:space="preserve"> </w:t>
      </w:r>
    </w:p>
    <w:p w14:paraId="386AB505" w14:textId="77777777" w:rsidR="00E91E31" w:rsidRPr="00E91E31" w:rsidRDefault="00E91E31" w:rsidP="00537495">
      <w:pPr>
        <w:rPr>
          <w:rFonts w:ascii="Arial" w:hAnsi="Arial" w:cs="Arial"/>
          <w:color w:val="000000" w:themeColor="text1"/>
          <w:sz w:val="24"/>
          <w:szCs w:val="24"/>
        </w:rPr>
      </w:pPr>
    </w:p>
    <w:p w14:paraId="70AF4C0B" w14:textId="77777777" w:rsidR="00E91E31" w:rsidRPr="00E91E31" w:rsidRDefault="00E91E31" w:rsidP="00537495">
      <w:pPr>
        <w:rPr>
          <w:rFonts w:ascii="Arial" w:hAnsi="Arial" w:cs="Arial"/>
          <w:color w:val="000000" w:themeColor="text1"/>
          <w:sz w:val="24"/>
          <w:szCs w:val="24"/>
        </w:rPr>
      </w:pPr>
    </w:p>
    <w:p w14:paraId="5A9AD62E" w14:textId="77777777" w:rsidR="00E91E31" w:rsidRPr="00E91E31" w:rsidRDefault="00E91E31" w:rsidP="00537495">
      <w:pPr>
        <w:rPr>
          <w:rFonts w:ascii="Arial" w:hAnsi="Arial" w:cs="Arial"/>
          <w:color w:val="000000" w:themeColor="text1"/>
          <w:sz w:val="24"/>
          <w:szCs w:val="24"/>
        </w:rPr>
      </w:pPr>
    </w:p>
    <w:p w14:paraId="0117876B" w14:textId="77777777" w:rsidR="00E91E31" w:rsidRPr="00E91E31" w:rsidRDefault="00E91E31" w:rsidP="00537495">
      <w:pPr>
        <w:rPr>
          <w:rFonts w:ascii="Arial" w:hAnsi="Arial" w:cs="Arial"/>
          <w:color w:val="000000" w:themeColor="text1"/>
          <w:sz w:val="24"/>
          <w:szCs w:val="24"/>
        </w:rPr>
      </w:pPr>
    </w:p>
    <w:p w14:paraId="5A987BD3" w14:textId="0D5BD172" w:rsidR="00E91E31" w:rsidRDefault="00E91E31" w:rsidP="004C6E01">
      <w:pPr>
        <w:rPr>
          <w:rFonts w:ascii="Arial" w:hAnsi="Arial" w:cs="Arial"/>
          <w:bCs/>
          <w:color w:val="00607F"/>
          <w:sz w:val="24"/>
          <w:szCs w:val="24"/>
          <w:u w:val="single"/>
        </w:rPr>
      </w:pPr>
      <w:r w:rsidRPr="00F53B2A">
        <w:rPr>
          <w:rFonts w:ascii="Arial" w:hAnsi="Arial" w:cs="Arial"/>
          <w:bCs/>
          <w:color w:val="00607F"/>
          <w:sz w:val="24"/>
          <w:szCs w:val="24"/>
          <w:u w:val="single"/>
        </w:rPr>
        <w:t xml:space="preserve">Policy </w:t>
      </w:r>
    </w:p>
    <w:p w14:paraId="39C9F043" w14:textId="50DB2882" w:rsidR="00E95C74" w:rsidRPr="00E95C74" w:rsidRDefault="00E95C74" w:rsidP="004C6E01">
      <w:pPr>
        <w:rPr>
          <w:rFonts w:ascii="Arial" w:eastAsia="Times New Roman" w:hAnsi="Arial" w:cs="Arial"/>
          <w:bCs/>
          <w:szCs w:val="24"/>
        </w:rPr>
      </w:pPr>
      <w:r w:rsidRPr="00E95C74">
        <w:rPr>
          <w:rFonts w:ascii="Arial" w:eastAsia="Times New Roman" w:hAnsi="Arial" w:cs="Arial"/>
          <w:bCs/>
          <w:szCs w:val="24"/>
        </w:rPr>
        <w:t xml:space="preserve">When </w:t>
      </w:r>
      <w:r>
        <w:rPr>
          <w:rFonts w:ascii="Arial" w:eastAsia="Times New Roman" w:hAnsi="Arial" w:cs="Arial"/>
          <w:bCs/>
          <w:szCs w:val="24"/>
        </w:rPr>
        <w:t xml:space="preserve">there is a closure or layoff that affects </w:t>
      </w:r>
      <w:r w:rsidR="00F0320E">
        <w:rPr>
          <w:rFonts w:ascii="Arial" w:eastAsia="Times New Roman" w:hAnsi="Arial" w:cs="Arial"/>
          <w:bCs/>
          <w:szCs w:val="24"/>
        </w:rPr>
        <w:t>twenty five</w:t>
      </w:r>
      <w:r>
        <w:rPr>
          <w:rFonts w:ascii="Arial" w:eastAsia="Times New Roman" w:hAnsi="Arial" w:cs="Arial"/>
          <w:bCs/>
          <w:szCs w:val="24"/>
        </w:rPr>
        <w:t xml:space="preserve"> (</w:t>
      </w:r>
      <w:r w:rsidR="00F0320E">
        <w:rPr>
          <w:rFonts w:ascii="Arial" w:eastAsia="Times New Roman" w:hAnsi="Arial" w:cs="Arial"/>
          <w:bCs/>
          <w:szCs w:val="24"/>
        </w:rPr>
        <w:t>25</w:t>
      </w:r>
      <w:r>
        <w:rPr>
          <w:rFonts w:ascii="Arial" w:eastAsia="Times New Roman" w:hAnsi="Arial" w:cs="Arial"/>
          <w:bCs/>
          <w:szCs w:val="24"/>
        </w:rPr>
        <w:t>) or more employees, the local area considers this to be a mass layoff.  Under such circumstances</w:t>
      </w:r>
      <w:r w:rsidR="00F0320E">
        <w:rPr>
          <w:rFonts w:ascii="Arial" w:eastAsia="Times New Roman" w:hAnsi="Arial" w:cs="Arial"/>
          <w:bCs/>
          <w:szCs w:val="24"/>
        </w:rPr>
        <w:t xml:space="preserve"> additional resources will be made available to these dislocated workers, including: access to needs-related payments and expanded funding for out-of-area job search assistance and relocation assistance. </w:t>
      </w:r>
    </w:p>
    <w:p w14:paraId="2D11BA74" w14:textId="77777777" w:rsidR="00E95C74" w:rsidRDefault="00E95C74" w:rsidP="004C6E01">
      <w:pPr>
        <w:rPr>
          <w:rFonts w:ascii="Arial" w:hAnsi="Arial" w:cs="Arial"/>
          <w:bCs/>
          <w:color w:val="00607F"/>
          <w:sz w:val="24"/>
          <w:szCs w:val="24"/>
          <w:u w:val="single"/>
        </w:rPr>
      </w:pPr>
    </w:p>
    <w:p w14:paraId="1C2ACC69" w14:textId="11C47779" w:rsidR="00E95C74" w:rsidRPr="00F53B2A" w:rsidRDefault="00E95C74" w:rsidP="004C6E01">
      <w:pPr>
        <w:rPr>
          <w:rFonts w:ascii="Arial" w:hAnsi="Arial" w:cs="Arial"/>
          <w:bCs/>
          <w:color w:val="00607F"/>
          <w:sz w:val="24"/>
          <w:szCs w:val="24"/>
          <w:u w:val="single"/>
        </w:rPr>
      </w:pPr>
      <w:r>
        <w:rPr>
          <w:rFonts w:ascii="Arial" w:hAnsi="Arial" w:cs="Arial"/>
          <w:bCs/>
          <w:color w:val="00607F"/>
          <w:sz w:val="24"/>
          <w:szCs w:val="24"/>
          <w:u w:val="single"/>
        </w:rPr>
        <w:t xml:space="preserve">Needs-Related Payments </w:t>
      </w:r>
    </w:p>
    <w:p w14:paraId="1E4D8B9E" w14:textId="45BAB564" w:rsidR="004C6E01" w:rsidRDefault="004C6E01" w:rsidP="00A051D9">
      <w:pPr>
        <w:pStyle w:val="BodyText"/>
        <w:spacing w:after="0"/>
        <w:jc w:val="both"/>
        <w:rPr>
          <w:rFonts w:ascii="Arial" w:hAnsi="Arial" w:cs="Arial"/>
          <w:bCs/>
          <w:sz w:val="22"/>
        </w:rPr>
      </w:pPr>
      <w:r>
        <w:rPr>
          <w:rFonts w:ascii="Arial" w:hAnsi="Arial" w:cs="Arial"/>
          <w:bCs/>
          <w:sz w:val="22"/>
        </w:rPr>
        <w:t xml:space="preserve">Needs-related payment provide financial assistance to participants for the purpose of enabling them to participate in training. </w:t>
      </w:r>
      <w:r w:rsidR="00340527">
        <w:rPr>
          <w:rStyle w:val="FootnoteReference"/>
          <w:rFonts w:ascii="Arial" w:hAnsi="Arial" w:cs="Arial"/>
          <w:bCs/>
          <w:sz w:val="22"/>
        </w:rPr>
        <w:footnoteReference w:id="1"/>
      </w:r>
      <w:r>
        <w:rPr>
          <w:rFonts w:ascii="Arial" w:hAnsi="Arial" w:cs="Arial"/>
          <w:bCs/>
          <w:sz w:val="22"/>
        </w:rPr>
        <w:t xml:space="preserve"> </w:t>
      </w:r>
    </w:p>
    <w:p w14:paraId="1E3F5B50" w14:textId="77777777" w:rsidR="004C6E01" w:rsidRDefault="004C6E01" w:rsidP="00A051D9">
      <w:pPr>
        <w:pStyle w:val="BodyText"/>
        <w:spacing w:after="0"/>
        <w:jc w:val="both"/>
        <w:rPr>
          <w:rFonts w:ascii="Arial" w:hAnsi="Arial" w:cs="Arial"/>
          <w:bCs/>
          <w:sz w:val="22"/>
        </w:rPr>
      </w:pPr>
    </w:p>
    <w:p w14:paraId="26D32F49" w14:textId="5644AB10" w:rsidR="00E91E31" w:rsidRPr="00426E65" w:rsidRDefault="004C5717" w:rsidP="00A051D9">
      <w:pPr>
        <w:pStyle w:val="BodyText"/>
        <w:spacing w:after="0"/>
        <w:jc w:val="both"/>
        <w:rPr>
          <w:rFonts w:ascii="Arial" w:hAnsi="Arial" w:cs="Arial"/>
          <w:b/>
          <w:bCs/>
          <w:sz w:val="22"/>
        </w:rPr>
      </w:pPr>
      <w:r>
        <w:rPr>
          <w:rFonts w:ascii="Montserrat-Bold" w:eastAsiaTheme="minorHAnsi" w:hAnsi="Montserrat-Bold" w:cs="Montserrat-Bold"/>
          <w:b/>
          <w:bCs/>
          <w:color w:val="BB1F53"/>
          <w:sz w:val="22"/>
          <w:szCs w:val="22"/>
        </w:rPr>
        <w:t xml:space="preserve">Qualification </w:t>
      </w:r>
      <w:r w:rsidR="0035031C">
        <w:rPr>
          <w:rFonts w:ascii="Montserrat-Bold" w:eastAsiaTheme="minorHAnsi" w:hAnsi="Montserrat-Bold" w:cs="Montserrat-Bold"/>
          <w:b/>
          <w:bCs/>
          <w:color w:val="BB1F53"/>
          <w:sz w:val="22"/>
          <w:szCs w:val="22"/>
        </w:rPr>
        <w:t xml:space="preserve"> </w:t>
      </w:r>
      <w:r w:rsidR="00E91E31" w:rsidRPr="00F53B2A">
        <w:rPr>
          <w:rFonts w:ascii="Montserrat-Bold" w:eastAsiaTheme="minorHAnsi" w:hAnsi="Montserrat-Bold" w:cs="Montserrat-Bold"/>
          <w:b/>
          <w:bCs/>
          <w:color w:val="BB1F53"/>
          <w:sz w:val="22"/>
          <w:szCs w:val="22"/>
        </w:rPr>
        <w:t xml:space="preserve"> </w:t>
      </w:r>
    </w:p>
    <w:p w14:paraId="7D20B280" w14:textId="352CC89F" w:rsidR="00AD65A3" w:rsidRPr="00E91E31" w:rsidRDefault="00AB770C" w:rsidP="00A051D9">
      <w:pPr>
        <w:pStyle w:val="BodyText"/>
        <w:spacing w:after="0"/>
        <w:jc w:val="both"/>
        <w:rPr>
          <w:rFonts w:ascii="Arial" w:hAnsi="Arial" w:cs="Arial"/>
          <w:bCs/>
          <w:sz w:val="22"/>
        </w:rPr>
      </w:pPr>
      <w:r>
        <w:rPr>
          <w:rFonts w:ascii="Arial" w:hAnsi="Arial" w:cs="Arial"/>
          <w:bCs/>
          <w:sz w:val="22"/>
        </w:rPr>
        <w:t xml:space="preserve">To receive needs-related payments, a dislocated worker must: </w:t>
      </w:r>
    </w:p>
    <w:p w14:paraId="6C9AD24E" w14:textId="77777777" w:rsidR="00426E65" w:rsidRDefault="00426E65" w:rsidP="00E91E31">
      <w:pPr>
        <w:pStyle w:val="BodyText"/>
        <w:spacing w:after="0"/>
        <w:jc w:val="both"/>
        <w:rPr>
          <w:rFonts w:ascii="Arial" w:hAnsi="Arial" w:cs="Arial"/>
          <w:bCs/>
          <w:sz w:val="22"/>
        </w:rPr>
      </w:pPr>
    </w:p>
    <w:tbl>
      <w:tblPr>
        <w:tblStyle w:val="TableGrid"/>
        <w:tblW w:w="0" w:type="auto"/>
        <w:tblLook w:val="04A0" w:firstRow="1" w:lastRow="0" w:firstColumn="1" w:lastColumn="0" w:noHBand="0" w:noVBand="1"/>
      </w:tblPr>
      <w:tblGrid>
        <w:gridCol w:w="461"/>
        <w:gridCol w:w="8889"/>
      </w:tblGrid>
      <w:tr w:rsidR="00426E65" w14:paraId="68942911" w14:textId="77777777" w:rsidTr="00426E65">
        <w:tc>
          <w:tcPr>
            <w:tcW w:w="461" w:type="dxa"/>
          </w:tcPr>
          <w:p w14:paraId="1DB0F194" w14:textId="12F261CB" w:rsidR="00426E65" w:rsidRDefault="00426E65" w:rsidP="00E91E31">
            <w:pPr>
              <w:pStyle w:val="BodyText"/>
              <w:spacing w:after="0"/>
              <w:jc w:val="both"/>
              <w:rPr>
                <w:rFonts w:ascii="Arial" w:hAnsi="Arial" w:cs="Arial"/>
                <w:bCs/>
                <w:sz w:val="22"/>
              </w:rPr>
            </w:pPr>
            <w:r>
              <w:rPr>
                <w:rFonts w:ascii="Arial" w:hAnsi="Arial" w:cs="Arial"/>
                <w:bCs/>
                <w:sz w:val="22"/>
              </w:rPr>
              <w:t>1.</w:t>
            </w:r>
          </w:p>
        </w:tc>
        <w:tc>
          <w:tcPr>
            <w:tcW w:w="8889" w:type="dxa"/>
          </w:tcPr>
          <w:p w14:paraId="28308612" w14:textId="06F6A120" w:rsidR="00426E65" w:rsidRDefault="00AB770C" w:rsidP="00E91E31">
            <w:pPr>
              <w:pStyle w:val="BodyText"/>
              <w:spacing w:after="0"/>
              <w:jc w:val="both"/>
              <w:rPr>
                <w:rFonts w:ascii="Arial" w:hAnsi="Arial" w:cs="Arial"/>
                <w:bCs/>
                <w:sz w:val="22"/>
              </w:rPr>
            </w:pPr>
            <w:r>
              <w:rPr>
                <w:rFonts w:ascii="Arial" w:hAnsi="Arial" w:cs="Arial"/>
                <w:bCs/>
                <w:sz w:val="22"/>
              </w:rPr>
              <w:t>Be unemployed</w:t>
            </w:r>
            <w:r w:rsidR="00340527">
              <w:rPr>
                <w:rStyle w:val="FootnoteReference"/>
                <w:rFonts w:ascii="Arial" w:hAnsi="Arial" w:cs="Arial"/>
                <w:bCs/>
                <w:sz w:val="22"/>
              </w:rPr>
              <w:footnoteReference w:id="2"/>
            </w:r>
            <w:r>
              <w:rPr>
                <w:rFonts w:ascii="Arial" w:hAnsi="Arial" w:cs="Arial"/>
                <w:bCs/>
                <w:sz w:val="22"/>
              </w:rPr>
              <w:t xml:space="preserve">, and </w:t>
            </w:r>
          </w:p>
        </w:tc>
      </w:tr>
      <w:tr w:rsidR="00AB770C" w14:paraId="5337175E" w14:textId="77777777" w:rsidTr="00426E65">
        <w:tc>
          <w:tcPr>
            <w:tcW w:w="461" w:type="dxa"/>
          </w:tcPr>
          <w:p w14:paraId="06A7B04A" w14:textId="63AAB0AC" w:rsidR="00AB770C" w:rsidRDefault="00340527" w:rsidP="00E91E31">
            <w:pPr>
              <w:pStyle w:val="BodyText"/>
              <w:spacing w:after="0"/>
              <w:jc w:val="both"/>
              <w:rPr>
                <w:rFonts w:ascii="Arial" w:hAnsi="Arial" w:cs="Arial"/>
                <w:bCs/>
                <w:sz w:val="22"/>
              </w:rPr>
            </w:pPr>
            <w:r>
              <w:rPr>
                <w:rFonts w:ascii="Arial" w:hAnsi="Arial" w:cs="Arial"/>
                <w:bCs/>
                <w:sz w:val="22"/>
              </w:rPr>
              <w:t>2.</w:t>
            </w:r>
          </w:p>
        </w:tc>
        <w:tc>
          <w:tcPr>
            <w:tcW w:w="8889" w:type="dxa"/>
          </w:tcPr>
          <w:p w14:paraId="6A22C6F2" w14:textId="30BFB1DD" w:rsidR="00AB770C" w:rsidRDefault="00AB770C" w:rsidP="00340527">
            <w:pPr>
              <w:pStyle w:val="BodyText"/>
              <w:spacing w:after="0"/>
              <w:jc w:val="both"/>
              <w:rPr>
                <w:rFonts w:ascii="Arial" w:hAnsi="Arial" w:cs="Arial"/>
                <w:bCs/>
                <w:sz w:val="22"/>
              </w:rPr>
            </w:pPr>
            <w:r>
              <w:rPr>
                <w:rFonts w:ascii="Arial" w:hAnsi="Arial" w:cs="Arial"/>
                <w:bCs/>
                <w:sz w:val="22"/>
              </w:rPr>
              <w:t xml:space="preserve">Have ceased to qualify </w:t>
            </w:r>
            <w:r w:rsidR="00B53D35">
              <w:rPr>
                <w:rFonts w:ascii="Arial" w:hAnsi="Arial" w:cs="Arial"/>
                <w:bCs/>
                <w:sz w:val="22"/>
              </w:rPr>
              <w:t xml:space="preserve">(or did not qualify) </w:t>
            </w:r>
            <w:r>
              <w:rPr>
                <w:rFonts w:ascii="Arial" w:hAnsi="Arial" w:cs="Arial"/>
                <w:bCs/>
                <w:sz w:val="22"/>
              </w:rPr>
              <w:t>for unemployment compensation or trade readjustment allowance under TAA;</w:t>
            </w:r>
            <w:r w:rsidR="00340527">
              <w:rPr>
                <w:rStyle w:val="FootnoteReference"/>
                <w:rFonts w:ascii="Arial" w:hAnsi="Arial" w:cs="Arial"/>
                <w:bCs/>
                <w:sz w:val="22"/>
              </w:rPr>
              <w:t xml:space="preserve"> </w:t>
            </w:r>
            <w:r w:rsidR="00340527">
              <w:rPr>
                <w:rStyle w:val="FootnoteReference"/>
                <w:rFonts w:ascii="Arial" w:hAnsi="Arial" w:cs="Arial"/>
                <w:bCs/>
                <w:sz w:val="22"/>
              </w:rPr>
              <w:footnoteReference w:id="3"/>
            </w:r>
            <w:r w:rsidR="00332BCC">
              <w:rPr>
                <w:rFonts w:ascii="Arial" w:hAnsi="Arial" w:cs="Arial"/>
                <w:bCs/>
                <w:sz w:val="22"/>
              </w:rPr>
              <w:t xml:space="preserve"> and</w:t>
            </w:r>
          </w:p>
        </w:tc>
      </w:tr>
      <w:tr w:rsidR="00426E65" w14:paraId="7B103A9D" w14:textId="77777777" w:rsidTr="00426E65">
        <w:tc>
          <w:tcPr>
            <w:tcW w:w="461" w:type="dxa"/>
          </w:tcPr>
          <w:p w14:paraId="46643C5E" w14:textId="4C818789" w:rsidR="00426E65" w:rsidRDefault="00340527" w:rsidP="00E91E31">
            <w:pPr>
              <w:pStyle w:val="BodyText"/>
              <w:spacing w:after="0"/>
              <w:jc w:val="both"/>
              <w:rPr>
                <w:rFonts w:ascii="Arial" w:hAnsi="Arial" w:cs="Arial"/>
                <w:bCs/>
                <w:sz w:val="22"/>
              </w:rPr>
            </w:pPr>
            <w:r>
              <w:rPr>
                <w:rFonts w:ascii="Arial" w:hAnsi="Arial" w:cs="Arial"/>
                <w:bCs/>
                <w:sz w:val="22"/>
              </w:rPr>
              <w:t>3.</w:t>
            </w:r>
          </w:p>
        </w:tc>
        <w:tc>
          <w:tcPr>
            <w:tcW w:w="8889" w:type="dxa"/>
          </w:tcPr>
          <w:p w14:paraId="0E6CB2B3" w14:textId="67D35787" w:rsidR="00426E65" w:rsidRDefault="00E95C74" w:rsidP="00E95C74">
            <w:pPr>
              <w:pStyle w:val="BodyText"/>
              <w:spacing w:after="0"/>
              <w:jc w:val="both"/>
              <w:rPr>
                <w:rFonts w:ascii="Arial" w:hAnsi="Arial" w:cs="Arial"/>
                <w:bCs/>
                <w:sz w:val="22"/>
              </w:rPr>
            </w:pPr>
            <w:r>
              <w:rPr>
                <w:rFonts w:ascii="Arial" w:hAnsi="Arial" w:cs="Arial"/>
                <w:bCs/>
                <w:sz w:val="22"/>
              </w:rPr>
              <w:t xml:space="preserve">Be a part of a </w:t>
            </w:r>
            <w:r w:rsidR="004C6E01">
              <w:rPr>
                <w:rFonts w:ascii="Arial" w:hAnsi="Arial" w:cs="Arial"/>
                <w:bCs/>
                <w:sz w:val="22"/>
              </w:rPr>
              <w:t>qualifying</w:t>
            </w:r>
            <w:r>
              <w:rPr>
                <w:rFonts w:ascii="Arial" w:hAnsi="Arial" w:cs="Arial"/>
                <w:bCs/>
                <w:sz w:val="22"/>
              </w:rPr>
              <w:t xml:space="preserve"> mass layoff</w:t>
            </w:r>
            <w:r w:rsidR="004C6E01">
              <w:rPr>
                <w:rFonts w:ascii="Arial" w:hAnsi="Arial" w:cs="Arial"/>
                <w:bCs/>
                <w:sz w:val="22"/>
              </w:rPr>
              <w:t>; and</w:t>
            </w:r>
          </w:p>
        </w:tc>
      </w:tr>
      <w:tr w:rsidR="00426E65" w14:paraId="5EC4C8A7" w14:textId="77777777" w:rsidTr="00426E65">
        <w:tc>
          <w:tcPr>
            <w:tcW w:w="461" w:type="dxa"/>
          </w:tcPr>
          <w:p w14:paraId="16F86ACA" w14:textId="553C5786" w:rsidR="00426E65" w:rsidRDefault="00340527" w:rsidP="00E91E31">
            <w:pPr>
              <w:pStyle w:val="BodyText"/>
              <w:spacing w:after="0"/>
              <w:jc w:val="both"/>
              <w:rPr>
                <w:rFonts w:ascii="Arial" w:hAnsi="Arial" w:cs="Arial"/>
                <w:bCs/>
                <w:sz w:val="22"/>
              </w:rPr>
            </w:pPr>
            <w:r>
              <w:rPr>
                <w:rFonts w:ascii="Arial" w:hAnsi="Arial" w:cs="Arial"/>
                <w:bCs/>
                <w:sz w:val="22"/>
              </w:rPr>
              <w:t>4.</w:t>
            </w:r>
          </w:p>
        </w:tc>
        <w:tc>
          <w:tcPr>
            <w:tcW w:w="8889" w:type="dxa"/>
          </w:tcPr>
          <w:p w14:paraId="5325734A" w14:textId="33949A33" w:rsidR="00426E65" w:rsidRDefault="004C6E01" w:rsidP="00E91E31">
            <w:pPr>
              <w:pStyle w:val="BodyText"/>
              <w:spacing w:after="0"/>
              <w:jc w:val="both"/>
              <w:rPr>
                <w:rFonts w:ascii="Arial" w:hAnsi="Arial" w:cs="Arial"/>
                <w:bCs/>
                <w:sz w:val="22"/>
              </w:rPr>
            </w:pPr>
            <w:r>
              <w:rPr>
                <w:rFonts w:ascii="Arial" w:hAnsi="Arial" w:cs="Arial"/>
                <w:bCs/>
                <w:sz w:val="22"/>
              </w:rPr>
              <w:t>The participant i</w:t>
            </w:r>
            <w:r w:rsidR="00426E65">
              <w:rPr>
                <w:rFonts w:ascii="Arial" w:hAnsi="Arial" w:cs="Arial"/>
                <w:bCs/>
                <w:sz w:val="22"/>
              </w:rPr>
              <w:t xml:space="preserve">s enrolled in </w:t>
            </w:r>
            <w:r w:rsidR="003C5C09">
              <w:rPr>
                <w:rFonts w:ascii="Arial" w:hAnsi="Arial" w:cs="Arial"/>
                <w:bCs/>
                <w:sz w:val="22"/>
              </w:rPr>
              <w:t>a training service</w:t>
            </w:r>
          </w:p>
        </w:tc>
      </w:tr>
      <w:tr w:rsidR="00426E65" w14:paraId="62672809" w14:textId="77777777" w:rsidTr="00426E65">
        <w:tc>
          <w:tcPr>
            <w:tcW w:w="461" w:type="dxa"/>
          </w:tcPr>
          <w:p w14:paraId="3E52A8A7" w14:textId="3D019D46" w:rsidR="00426E65" w:rsidRDefault="00426E65" w:rsidP="00E91E31">
            <w:pPr>
              <w:pStyle w:val="BodyText"/>
              <w:spacing w:after="0"/>
              <w:jc w:val="both"/>
              <w:rPr>
                <w:rFonts w:ascii="Arial" w:hAnsi="Arial" w:cs="Arial"/>
                <w:bCs/>
                <w:sz w:val="22"/>
              </w:rPr>
            </w:pPr>
            <w:r>
              <w:rPr>
                <w:rFonts w:ascii="Arial" w:hAnsi="Arial" w:cs="Arial"/>
                <w:bCs/>
                <w:sz w:val="22"/>
              </w:rPr>
              <w:t>A</w:t>
            </w:r>
          </w:p>
        </w:tc>
        <w:tc>
          <w:tcPr>
            <w:tcW w:w="8889" w:type="dxa"/>
          </w:tcPr>
          <w:p w14:paraId="041CDD6C" w14:textId="411E76AE" w:rsidR="00426E65" w:rsidRDefault="00426E65" w:rsidP="00332BCC">
            <w:pPr>
              <w:pStyle w:val="BodyText"/>
              <w:spacing w:after="0"/>
              <w:jc w:val="both"/>
              <w:rPr>
                <w:rFonts w:ascii="Arial" w:hAnsi="Arial" w:cs="Arial"/>
                <w:bCs/>
                <w:sz w:val="22"/>
              </w:rPr>
            </w:pPr>
            <w:r>
              <w:rPr>
                <w:rFonts w:ascii="Arial" w:hAnsi="Arial" w:cs="Arial"/>
                <w:bCs/>
                <w:sz w:val="22"/>
              </w:rPr>
              <w:t>by the end of the 13</w:t>
            </w:r>
            <w:r w:rsidRPr="00426E65">
              <w:rPr>
                <w:rFonts w:ascii="Arial" w:hAnsi="Arial" w:cs="Arial"/>
                <w:bCs/>
                <w:sz w:val="22"/>
                <w:vertAlign w:val="superscript"/>
              </w:rPr>
              <w:t>th</w:t>
            </w:r>
            <w:r>
              <w:rPr>
                <w:rFonts w:ascii="Arial" w:hAnsi="Arial" w:cs="Arial"/>
                <w:bCs/>
                <w:sz w:val="22"/>
              </w:rPr>
              <w:t xml:space="preserve"> week after the most recent layoff that resulted in a determination of the worker’s eligibility for employment and training activities;</w:t>
            </w:r>
            <w:r w:rsidR="00332BCC">
              <w:rPr>
                <w:rStyle w:val="FootnoteReference"/>
                <w:rFonts w:ascii="Arial" w:hAnsi="Arial" w:cs="Arial"/>
                <w:bCs/>
                <w:sz w:val="22"/>
              </w:rPr>
              <w:t xml:space="preserve"> </w:t>
            </w:r>
            <w:r>
              <w:rPr>
                <w:rFonts w:ascii="Arial" w:hAnsi="Arial" w:cs="Arial"/>
                <w:bCs/>
                <w:sz w:val="22"/>
              </w:rPr>
              <w:t xml:space="preserve">or </w:t>
            </w:r>
          </w:p>
        </w:tc>
      </w:tr>
      <w:tr w:rsidR="00426E65" w14:paraId="49BDEC38" w14:textId="77777777" w:rsidTr="00426E65">
        <w:tc>
          <w:tcPr>
            <w:tcW w:w="461" w:type="dxa"/>
          </w:tcPr>
          <w:p w14:paraId="2A77DD21" w14:textId="01FB508A" w:rsidR="00426E65" w:rsidRDefault="00426E65" w:rsidP="00E91E31">
            <w:pPr>
              <w:pStyle w:val="BodyText"/>
              <w:spacing w:after="0"/>
              <w:jc w:val="both"/>
              <w:rPr>
                <w:rFonts w:ascii="Arial" w:hAnsi="Arial" w:cs="Arial"/>
                <w:bCs/>
                <w:sz w:val="22"/>
              </w:rPr>
            </w:pPr>
            <w:r>
              <w:rPr>
                <w:rFonts w:ascii="Arial" w:hAnsi="Arial" w:cs="Arial"/>
                <w:bCs/>
                <w:sz w:val="22"/>
              </w:rPr>
              <w:t>B</w:t>
            </w:r>
          </w:p>
        </w:tc>
        <w:tc>
          <w:tcPr>
            <w:tcW w:w="8889" w:type="dxa"/>
          </w:tcPr>
          <w:p w14:paraId="536AF821" w14:textId="244CAF82" w:rsidR="00426E65" w:rsidRDefault="00426E65" w:rsidP="00E91E31">
            <w:pPr>
              <w:pStyle w:val="BodyText"/>
              <w:spacing w:after="0"/>
              <w:jc w:val="both"/>
              <w:rPr>
                <w:rFonts w:ascii="Arial" w:hAnsi="Arial" w:cs="Arial"/>
                <w:bCs/>
                <w:sz w:val="22"/>
              </w:rPr>
            </w:pPr>
            <w:proofErr w:type="gramStart"/>
            <w:r>
              <w:rPr>
                <w:rFonts w:ascii="Arial" w:hAnsi="Arial" w:cs="Arial"/>
                <w:bCs/>
                <w:sz w:val="22"/>
              </w:rPr>
              <w:t>if</w:t>
            </w:r>
            <w:proofErr w:type="gramEnd"/>
            <w:r>
              <w:rPr>
                <w:rFonts w:ascii="Arial" w:hAnsi="Arial" w:cs="Arial"/>
                <w:bCs/>
                <w:sz w:val="22"/>
              </w:rPr>
              <w:t xml:space="preserve"> later, by the end of the 8</w:t>
            </w:r>
            <w:r w:rsidRPr="00426E65">
              <w:rPr>
                <w:rFonts w:ascii="Arial" w:hAnsi="Arial" w:cs="Arial"/>
                <w:bCs/>
                <w:sz w:val="22"/>
                <w:vertAlign w:val="superscript"/>
              </w:rPr>
              <w:t>th</w:t>
            </w:r>
            <w:r>
              <w:rPr>
                <w:rFonts w:ascii="Arial" w:hAnsi="Arial" w:cs="Arial"/>
                <w:bCs/>
                <w:sz w:val="22"/>
              </w:rPr>
              <w:t xml:space="preserve"> week after the </w:t>
            </w:r>
            <w:r w:rsidR="00F53B2A">
              <w:rPr>
                <w:rFonts w:ascii="Arial" w:hAnsi="Arial" w:cs="Arial"/>
                <w:bCs/>
                <w:sz w:val="22"/>
              </w:rPr>
              <w:t xml:space="preserve">worker </w:t>
            </w:r>
            <w:r>
              <w:rPr>
                <w:rFonts w:ascii="Arial" w:hAnsi="Arial" w:cs="Arial"/>
                <w:bCs/>
                <w:sz w:val="22"/>
              </w:rPr>
              <w:t xml:space="preserve"> is informed that a short-term layoff will exceed 6 months.</w:t>
            </w:r>
            <w:r w:rsidR="00340527">
              <w:rPr>
                <w:rStyle w:val="FootnoteReference"/>
                <w:rFonts w:ascii="Arial" w:hAnsi="Arial" w:cs="Arial"/>
                <w:bCs/>
                <w:sz w:val="22"/>
              </w:rPr>
              <w:footnoteReference w:id="4"/>
            </w:r>
          </w:p>
        </w:tc>
      </w:tr>
    </w:tbl>
    <w:p w14:paraId="04E1B49A" w14:textId="77777777" w:rsidR="004C6E01" w:rsidRDefault="004C6E01" w:rsidP="00E91E31">
      <w:pPr>
        <w:pStyle w:val="BodyText"/>
        <w:spacing w:after="0"/>
        <w:jc w:val="both"/>
        <w:rPr>
          <w:rFonts w:ascii="Arial" w:hAnsi="Arial" w:cs="Arial"/>
          <w:bCs/>
          <w:sz w:val="22"/>
        </w:rPr>
      </w:pPr>
    </w:p>
    <w:p w14:paraId="1B527B94" w14:textId="13C5E096" w:rsidR="00426E65" w:rsidRPr="00F53B2A" w:rsidRDefault="00426E65" w:rsidP="00E91E31">
      <w:pPr>
        <w:pStyle w:val="BodyText"/>
        <w:spacing w:after="0"/>
        <w:jc w:val="both"/>
        <w:rPr>
          <w:rFonts w:ascii="Montserrat-Bold" w:eastAsiaTheme="minorHAnsi" w:hAnsi="Montserrat-Bold" w:cs="Montserrat-Bold"/>
          <w:b/>
          <w:bCs/>
          <w:color w:val="BB1F53"/>
          <w:sz w:val="22"/>
          <w:szCs w:val="22"/>
        </w:rPr>
      </w:pPr>
      <w:r w:rsidRPr="00F53B2A">
        <w:rPr>
          <w:rFonts w:ascii="Montserrat-Bold" w:eastAsiaTheme="minorHAnsi" w:hAnsi="Montserrat-Bold" w:cs="Montserrat-Bold"/>
          <w:b/>
          <w:bCs/>
          <w:color w:val="BB1F53"/>
          <w:sz w:val="22"/>
          <w:szCs w:val="22"/>
        </w:rPr>
        <w:t xml:space="preserve">Level of Payment </w:t>
      </w:r>
    </w:p>
    <w:p w14:paraId="4378DAEA" w14:textId="3DFE1608" w:rsidR="004C6E01" w:rsidRDefault="004C6E01" w:rsidP="00E91E31">
      <w:pPr>
        <w:pStyle w:val="BodyText"/>
        <w:spacing w:after="0"/>
        <w:jc w:val="both"/>
        <w:rPr>
          <w:rFonts w:ascii="Arial" w:hAnsi="Arial" w:cs="Arial"/>
          <w:bCs/>
          <w:sz w:val="22"/>
        </w:rPr>
      </w:pPr>
      <w:r>
        <w:rPr>
          <w:rFonts w:ascii="Arial" w:hAnsi="Arial" w:cs="Arial"/>
          <w:bCs/>
          <w:sz w:val="22"/>
        </w:rPr>
        <w:t xml:space="preserve">The level of needs-related payment will not exceed the greater of: </w:t>
      </w:r>
    </w:p>
    <w:tbl>
      <w:tblPr>
        <w:tblStyle w:val="TableGrid"/>
        <w:tblW w:w="0" w:type="auto"/>
        <w:tblLook w:val="04A0" w:firstRow="1" w:lastRow="0" w:firstColumn="1" w:lastColumn="0" w:noHBand="0" w:noVBand="1"/>
      </w:tblPr>
      <w:tblGrid>
        <w:gridCol w:w="445"/>
        <w:gridCol w:w="8905"/>
      </w:tblGrid>
      <w:tr w:rsidR="004C6E01" w14:paraId="78B425C3" w14:textId="77777777" w:rsidTr="004C6E01">
        <w:tc>
          <w:tcPr>
            <w:tcW w:w="445" w:type="dxa"/>
          </w:tcPr>
          <w:p w14:paraId="67D6F0D8" w14:textId="5FB22784" w:rsidR="004C6E01" w:rsidRDefault="004C6E01" w:rsidP="00E91E31">
            <w:pPr>
              <w:pStyle w:val="BodyText"/>
              <w:spacing w:after="0"/>
              <w:jc w:val="both"/>
              <w:rPr>
                <w:rFonts w:ascii="Arial" w:hAnsi="Arial" w:cs="Arial"/>
                <w:bCs/>
                <w:sz w:val="22"/>
              </w:rPr>
            </w:pPr>
            <w:r>
              <w:rPr>
                <w:rFonts w:ascii="Arial" w:hAnsi="Arial" w:cs="Arial"/>
                <w:bCs/>
                <w:sz w:val="22"/>
              </w:rPr>
              <w:t>1.</w:t>
            </w:r>
          </w:p>
        </w:tc>
        <w:tc>
          <w:tcPr>
            <w:tcW w:w="8905" w:type="dxa"/>
          </w:tcPr>
          <w:p w14:paraId="3BE26E74" w14:textId="0AABC047" w:rsidR="004C6E01" w:rsidRDefault="00AB770C" w:rsidP="00CC0647">
            <w:pPr>
              <w:pStyle w:val="BodyText"/>
              <w:spacing w:after="0"/>
              <w:jc w:val="both"/>
              <w:rPr>
                <w:rFonts w:ascii="Arial" w:hAnsi="Arial" w:cs="Arial"/>
                <w:bCs/>
                <w:sz w:val="22"/>
              </w:rPr>
            </w:pPr>
            <w:r>
              <w:rPr>
                <w:rFonts w:ascii="Arial" w:hAnsi="Arial" w:cs="Arial"/>
                <w:bCs/>
                <w:sz w:val="22"/>
              </w:rPr>
              <w:t>the applicable weekly level of unemployment compensation benefit, for the participant who was eligible for unemployment compensation as a result of the qualifying dislocation</w:t>
            </w:r>
            <w:r w:rsidR="00CC0647">
              <w:rPr>
                <w:rFonts w:ascii="Arial" w:hAnsi="Arial" w:cs="Arial"/>
                <w:bCs/>
                <w:sz w:val="22"/>
              </w:rPr>
              <w:t xml:space="preserve"> </w:t>
            </w:r>
            <w:r>
              <w:rPr>
                <w:rFonts w:ascii="Arial" w:hAnsi="Arial" w:cs="Arial"/>
                <w:bCs/>
                <w:sz w:val="22"/>
              </w:rPr>
              <w:t>or</w:t>
            </w:r>
          </w:p>
        </w:tc>
      </w:tr>
      <w:tr w:rsidR="004C6E01" w14:paraId="550B1C52" w14:textId="77777777" w:rsidTr="004C6E01">
        <w:tc>
          <w:tcPr>
            <w:tcW w:w="445" w:type="dxa"/>
          </w:tcPr>
          <w:p w14:paraId="3219B0F0" w14:textId="173FECC5" w:rsidR="004C6E01" w:rsidRDefault="004C6E01" w:rsidP="00E91E31">
            <w:pPr>
              <w:pStyle w:val="BodyText"/>
              <w:spacing w:after="0"/>
              <w:jc w:val="both"/>
              <w:rPr>
                <w:rFonts w:ascii="Arial" w:hAnsi="Arial" w:cs="Arial"/>
                <w:bCs/>
                <w:sz w:val="22"/>
              </w:rPr>
            </w:pPr>
            <w:r>
              <w:rPr>
                <w:rFonts w:ascii="Arial" w:hAnsi="Arial" w:cs="Arial"/>
                <w:bCs/>
                <w:sz w:val="22"/>
              </w:rPr>
              <w:t>2.</w:t>
            </w:r>
          </w:p>
        </w:tc>
        <w:tc>
          <w:tcPr>
            <w:tcW w:w="8905" w:type="dxa"/>
          </w:tcPr>
          <w:p w14:paraId="1EA5ADD9" w14:textId="53673A4E" w:rsidR="004C6E01" w:rsidRDefault="00AB770C" w:rsidP="00E91E31">
            <w:pPr>
              <w:pStyle w:val="BodyText"/>
              <w:spacing w:after="0"/>
              <w:jc w:val="both"/>
              <w:rPr>
                <w:rFonts w:ascii="Arial" w:hAnsi="Arial" w:cs="Arial"/>
                <w:bCs/>
                <w:sz w:val="22"/>
              </w:rPr>
            </w:pPr>
            <w:r>
              <w:rPr>
                <w:rFonts w:ascii="Arial" w:hAnsi="Arial" w:cs="Arial"/>
                <w:bCs/>
                <w:sz w:val="22"/>
              </w:rPr>
              <w:t xml:space="preserve">The poverty level for an equivalent period, for participants who did not qualify for unemployment compensation as a result of the qualifying layoff. The weekly payment level must be adjusted to reflect changes in the total family income. </w:t>
            </w:r>
            <w:r>
              <w:rPr>
                <w:rStyle w:val="FootnoteReference"/>
                <w:rFonts w:ascii="Arial" w:hAnsi="Arial" w:cs="Arial"/>
                <w:bCs/>
                <w:sz w:val="22"/>
              </w:rPr>
              <w:footnoteReference w:id="5"/>
            </w:r>
          </w:p>
        </w:tc>
      </w:tr>
    </w:tbl>
    <w:p w14:paraId="547C4208" w14:textId="77777777" w:rsidR="004C6E01" w:rsidRDefault="004C6E01" w:rsidP="00E91E31">
      <w:pPr>
        <w:pStyle w:val="BodyText"/>
        <w:spacing w:after="0"/>
        <w:jc w:val="both"/>
        <w:rPr>
          <w:rFonts w:ascii="Arial" w:hAnsi="Arial" w:cs="Arial"/>
          <w:bCs/>
          <w:sz w:val="22"/>
        </w:rPr>
      </w:pPr>
    </w:p>
    <w:p w14:paraId="4534841B" w14:textId="5AD6AB12" w:rsidR="00426E65" w:rsidRDefault="00AB770C" w:rsidP="00E91E31">
      <w:pPr>
        <w:pStyle w:val="BodyText"/>
        <w:spacing w:after="0"/>
        <w:jc w:val="both"/>
        <w:rPr>
          <w:rFonts w:ascii="Arial" w:hAnsi="Arial" w:cs="Arial"/>
          <w:bCs/>
          <w:sz w:val="22"/>
        </w:rPr>
      </w:pPr>
      <w:r>
        <w:rPr>
          <w:rFonts w:ascii="Arial" w:hAnsi="Arial" w:cs="Arial"/>
          <w:bCs/>
          <w:sz w:val="22"/>
        </w:rPr>
        <w:lastRenderedPageBreak/>
        <w:t xml:space="preserve">Payments may be provided while the participant is waiting to start training, if they have been accepted in a training program that will begin within 30 calendar days. </w:t>
      </w:r>
      <w:r>
        <w:rPr>
          <w:rStyle w:val="FootnoteReference"/>
          <w:rFonts w:ascii="Arial" w:hAnsi="Arial" w:cs="Arial"/>
          <w:bCs/>
          <w:sz w:val="22"/>
        </w:rPr>
        <w:footnoteReference w:id="6"/>
      </w:r>
    </w:p>
    <w:p w14:paraId="05B3BED1" w14:textId="77777777" w:rsidR="00332BCC" w:rsidRDefault="00332BCC" w:rsidP="00332BCC">
      <w:pPr>
        <w:pStyle w:val="BodyText"/>
        <w:rPr>
          <w:rFonts w:ascii="Arial" w:hAnsi="Arial" w:cs="Arial"/>
          <w:bCs/>
          <w:sz w:val="22"/>
        </w:rPr>
      </w:pPr>
    </w:p>
    <w:p w14:paraId="00E6BE36" w14:textId="5BAC01D0" w:rsidR="00332BCC" w:rsidRPr="00332BCC" w:rsidRDefault="00332BCC" w:rsidP="00332BCC">
      <w:pPr>
        <w:pStyle w:val="BodyText"/>
        <w:rPr>
          <w:rFonts w:ascii="Arial" w:hAnsi="Arial" w:cs="Arial"/>
          <w:sz w:val="22"/>
        </w:rPr>
      </w:pPr>
      <w:r>
        <w:rPr>
          <w:rFonts w:ascii="Arial" w:hAnsi="Arial" w:cs="Arial"/>
          <w:sz w:val="22"/>
        </w:rPr>
        <w:t>The local area</w:t>
      </w:r>
      <w:r w:rsidRPr="00E91E31">
        <w:rPr>
          <w:rFonts w:ascii="Arial" w:hAnsi="Arial" w:cs="Arial"/>
          <w:sz w:val="22"/>
        </w:rPr>
        <w:t xml:space="preserve"> reserves the right to make the determination that funds are limited.  In the event of such a determination, services</w:t>
      </w:r>
      <w:r>
        <w:rPr>
          <w:rFonts w:ascii="Arial" w:hAnsi="Arial" w:cs="Arial"/>
          <w:sz w:val="22"/>
        </w:rPr>
        <w:t xml:space="preserve"> will be allocated using the </w:t>
      </w:r>
      <w:r w:rsidRPr="00E91E31">
        <w:rPr>
          <w:rFonts w:ascii="Arial" w:hAnsi="Arial" w:cs="Arial"/>
          <w:sz w:val="22"/>
        </w:rPr>
        <w:t>Priority of Services Policy.</w:t>
      </w:r>
    </w:p>
    <w:p w14:paraId="23390B63" w14:textId="77777777" w:rsidR="00B52F88" w:rsidRDefault="00B52F88" w:rsidP="00537495">
      <w:pPr>
        <w:rPr>
          <w:rFonts w:ascii="Arial" w:eastAsia="Times New Roman" w:hAnsi="Arial" w:cs="Arial"/>
          <w:bCs/>
          <w:szCs w:val="24"/>
        </w:rPr>
      </w:pPr>
    </w:p>
    <w:p w14:paraId="12A151F1" w14:textId="398C7991" w:rsidR="00B87BD8" w:rsidRDefault="00221AFA" w:rsidP="00537495">
      <w:pPr>
        <w:rPr>
          <w:rFonts w:ascii="Montserrat-Bold" w:hAnsi="Montserrat-Bold" w:cs="Montserrat-Bold"/>
          <w:b/>
          <w:bCs/>
          <w:color w:val="BB1F53"/>
        </w:rPr>
      </w:pPr>
      <w:r>
        <w:rPr>
          <w:rFonts w:ascii="Montserrat-Bold" w:hAnsi="Montserrat-Bold" w:cs="Montserrat-Bold"/>
          <w:b/>
          <w:bCs/>
          <w:color w:val="BB1F53"/>
        </w:rPr>
        <w:t xml:space="preserve">Maximum Payment </w:t>
      </w:r>
      <w:r w:rsidR="00B87BD8" w:rsidRPr="00B87BD8">
        <w:rPr>
          <w:rFonts w:ascii="Montserrat-Bold" w:hAnsi="Montserrat-Bold" w:cs="Montserrat-Bold"/>
          <w:b/>
          <w:bCs/>
          <w:color w:val="BB1F53"/>
        </w:rPr>
        <w:t xml:space="preserve"> </w:t>
      </w:r>
    </w:p>
    <w:p w14:paraId="1E798DF7" w14:textId="6132883C" w:rsidR="00B87BD8" w:rsidRDefault="00B87BD8" w:rsidP="00B87BD8">
      <w:pPr>
        <w:pStyle w:val="BodyText"/>
        <w:rPr>
          <w:rFonts w:ascii="Arial" w:hAnsi="Arial" w:cs="Arial"/>
          <w:bCs/>
          <w:sz w:val="22"/>
        </w:rPr>
      </w:pPr>
      <w:r>
        <w:rPr>
          <w:rFonts w:ascii="Arial" w:hAnsi="Arial" w:cs="Arial"/>
          <w:bCs/>
          <w:sz w:val="22"/>
        </w:rPr>
        <w:t xml:space="preserve">Participants may receive needs-related payments for up to eight weeks, not to exceed $3,300. </w:t>
      </w:r>
      <w:r w:rsidR="00221AFA">
        <w:rPr>
          <w:rFonts w:ascii="Arial" w:hAnsi="Arial" w:cs="Arial"/>
          <w:bCs/>
          <w:sz w:val="22"/>
        </w:rPr>
        <w:t>Needs-related payments do not count towar</w:t>
      </w:r>
      <w:r w:rsidR="009C115E">
        <w:rPr>
          <w:rFonts w:ascii="Arial" w:hAnsi="Arial" w:cs="Arial"/>
          <w:bCs/>
          <w:sz w:val="22"/>
        </w:rPr>
        <w:t xml:space="preserve">ds supportive service maximums and are in addition </w:t>
      </w:r>
      <w:bookmarkStart w:id="0" w:name="_GoBack"/>
      <w:bookmarkEnd w:id="0"/>
      <w:r w:rsidR="009C115E">
        <w:rPr>
          <w:rFonts w:ascii="Arial" w:hAnsi="Arial" w:cs="Arial"/>
          <w:bCs/>
          <w:sz w:val="22"/>
        </w:rPr>
        <w:t xml:space="preserve">to life time limits. </w:t>
      </w:r>
    </w:p>
    <w:p w14:paraId="20B262BC" w14:textId="77777777" w:rsidR="00F0320E" w:rsidRDefault="00F0320E" w:rsidP="00F0320E">
      <w:pPr>
        <w:rPr>
          <w:rFonts w:ascii="Arial" w:hAnsi="Arial" w:cs="Arial"/>
          <w:bCs/>
          <w:color w:val="00607F"/>
          <w:sz w:val="24"/>
          <w:szCs w:val="24"/>
          <w:u w:val="single"/>
        </w:rPr>
      </w:pPr>
    </w:p>
    <w:p w14:paraId="3AE55248" w14:textId="43C8C52E" w:rsidR="00B87BD8" w:rsidRPr="009F74DB" w:rsidRDefault="00F0320E" w:rsidP="009F74DB">
      <w:pPr>
        <w:rPr>
          <w:rFonts w:ascii="Arial" w:hAnsi="Arial" w:cs="Arial"/>
          <w:bCs/>
          <w:color w:val="00607F"/>
          <w:sz w:val="24"/>
          <w:szCs w:val="24"/>
          <w:u w:val="single"/>
        </w:rPr>
      </w:pPr>
      <w:r>
        <w:rPr>
          <w:rFonts w:ascii="Arial" w:hAnsi="Arial" w:cs="Arial"/>
          <w:bCs/>
          <w:color w:val="00607F"/>
          <w:sz w:val="24"/>
          <w:szCs w:val="24"/>
          <w:u w:val="single"/>
        </w:rPr>
        <w:t xml:space="preserve">Out-of-Area Job Search Assistance and Relocation Assistance  </w:t>
      </w:r>
    </w:p>
    <w:p w14:paraId="70B3736E" w14:textId="1BDCBEC5" w:rsidR="00B87BD8" w:rsidRPr="00A436D5" w:rsidRDefault="009F74DB" w:rsidP="00A436D5">
      <w:pPr>
        <w:pStyle w:val="BodyText"/>
        <w:rPr>
          <w:rFonts w:ascii="Arial" w:hAnsi="Arial" w:cs="Arial"/>
          <w:bCs/>
          <w:sz w:val="22"/>
        </w:rPr>
      </w:pPr>
      <w:r>
        <w:rPr>
          <w:rFonts w:ascii="Arial" w:hAnsi="Arial" w:cs="Arial"/>
          <w:bCs/>
          <w:sz w:val="22"/>
        </w:rPr>
        <w:t xml:space="preserve">Individualized career services include: out-of-area job search assistance and relocation assistance. These services are available to all Adult and Dislocated Worker Program participants if it is determined appropriate by the workforce coordinator. Funds expended are counted toward their lifetime limits. Under </w:t>
      </w:r>
      <w:r w:rsidR="009C115E">
        <w:rPr>
          <w:rFonts w:ascii="Arial" w:hAnsi="Arial" w:cs="Arial"/>
          <w:bCs/>
          <w:sz w:val="22"/>
        </w:rPr>
        <w:t>a mass layoff or closure funds expended are in addition to the li</w:t>
      </w:r>
      <w:r w:rsidR="00A436D5">
        <w:rPr>
          <w:rFonts w:ascii="Arial" w:hAnsi="Arial" w:cs="Arial"/>
          <w:bCs/>
          <w:sz w:val="22"/>
        </w:rPr>
        <w:t>fe</w:t>
      </w:r>
      <w:r w:rsidR="009C115E">
        <w:rPr>
          <w:rFonts w:ascii="Arial" w:hAnsi="Arial" w:cs="Arial"/>
          <w:bCs/>
          <w:sz w:val="22"/>
        </w:rPr>
        <w:t xml:space="preserve">time limits.  </w:t>
      </w:r>
      <w:r w:rsidR="00E97B24">
        <w:rPr>
          <w:rFonts w:ascii="Arial" w:hAnsi="Arial" w:cs="Arial"/>
          <w:bCs/>
          <w:sz w:val="22"/>
        </w:rPr>
        <w:t>See Policy 27</w:t>
      </w:r>
      <w:r w:rsidR="002636DB">
        <w:rPr>
          <w:rFonts w:ascii="Arial" w:hAnsi="Arial" w:cs="Arial"/>
          <w:bCs/>
          <w:sz w:val="22"/>
        </w:rPr>
        <w:t xml:space="preserve"> for more information.</w:t>
      </w:r>
      <w:r>
        <w:rPr>
          <w:rFonts w:ascii="Arial" w:hAnsi="Arial" w:cs="Arial"/>
          <w:bCs/>
          <w:sz w:val="22"/>
        </w:rPr>
        <w:t xml:space="preserve">  </w:t>
      </w:r>
    </w:p>
    <w:p w14:paraId="2F6038D3" w14:textId="77777777" w:rsidR="00B87BD8" w:rsidRPr="00B87BD8" w:rsidRDefault="00B87BD8" w:rsidP="00537495">
      <w:pPr>
        <w:rPr>
          <w:rFonts w:ascii="Montserrat-Bold" w:hAnsi="Montserrat-Bold" w:cs="Montserrat-Bold"/>
          <w:b/>
          <w:bCs/>
          <w:color w:val="BB1F53"/>
        </w:rPr>
      </w:pPr>
    </w:p>
    <w:p w14:paraId="7C5DA8E1" w14:textId="15FCE800" w:rsidR="00B52F88" w:rsidRDefault="00B52F88" w:rsidP="00537495">
      <w:pPr>
        <w:rPr>
          <w:rFonts w:ascii="Times New Roman" w:hAnsi="Times New Roman" w:cs="Times New Roman"/>
          <w:color w:val="000000" w:themeColor="text1"/>
          <w:sz w:val="24"/>
          <w:szCs w:val="24"/>
        </w:rPr>
      </w:pPr>
    </w:p>
    <w:p w14:paraId="3D087925" w14:textId="77777777" w:rsidR="00B52F88" w:rsidRDefault="00B52F88" w:rsidP="00537495">
      <w:pPr>
        <w:rPr>
          <w:rFonts w:ascii="Times New Roman" w:hAnsi="Times New Roman" w:cs="Times New Roman"/>
          <w:color w:val="000000" w:themeColor="text1"/>
          <w:sz w:val="24"/>
          <w:szCs w:val="24"/>
        </w:rPr>
      </w:pPr>
    </w:p>
    <w:p w14:paraId="6E430E6A" w14:textId="0F232DDA" w:rsidR="00B52F88" w:rsidRDefault="00B52F88" w:rsidP="00537495">
      <w:pPr>
        <w:rPr>
          <w:noProof/>
        </w:rPr>
      </w:pPr>
    </w:p>
    <w:p w14:paraId="68F13B8A" w14:textId="25D325AC" w:rsidR="00B52F88" w:rsidRDefault="00B52F88" w:rsidP="00537495">
      <w:pPr>
        <w:rPr>
          <w:rFonts w:ascii="Times New Roman" w:hAnsi="Times New Roman" w:cs="Times New Roman"/>
          <w:color w:val="000000" w:themeColor="text1"/>
          <w:sz w:val="24"/>
          <w:szCs w:val="24"/>
        </w:rPr>
      </w:pPr>
    </w:p>
    <w:p w14:paraId="2416BA5F" w14:textId="6C751C02" w:rsidR="00B52F88" w:rsidRDefault="00B52F88" w:rsidP="00537495">
      <w:pPr>
        <w:rPr>
          <w:rFonts w:ascii="Times New Roman" w:hAnsi="Times New Roman" w:cs="Times New Roman"/>
          <w:color w:val="000000" w:themeColor="text1"/>
          <w:sz w:val="24"/>
          <w:szCs w:val="24"/>
        </w:rPr>
      </w:pPr>
    </w:p>
    <w:p w14:paraId="0B4C7AFD" w14:textId="6D20A8E6" w:rsidR="00B52F88" w:rsidRDefault="00B52F88" w:rsidP="00537495">
      <w:pPr>
        <w:rPr>
          <w:rFonts w:ascii="Times New Roman" w:hAnsi="Times New Roman" w:cs="Times New Roman"/>
          <w:color w:val="000000" w:themeColor="text1"/>
          <w:sz w:val="24"/>
          <w:szCs w:val="24"/>
        </w:rPr>
      </w:pPr>
    </w:p>
    <w:sectPr w:rsidR="00B52F88" w:rsidSect="009C64D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5859" w14:textId="77777777" w:rsidR="00A719F6" w:rsidRDefault="00A719F6" w:rsidP="00A719F6">
      <w:r>
        <w:separator/>
      </w:r>
    </w:p>
  </w:endnote>
  <w:endnote w:type="continuationSeparator" w:id="0">
    <w:p w14:paraId="7E7C064A" w14:textId="77777777" w:rsidR="00A719F6" w:rsidRDefault="00A719F6" w:rsidP="00A7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E215" w14:textId="02D5E2C0" w:rsidR="002B4C61" w:rsidRDefault="001D40B4" w:rsidP="002B4C61">
    <w:pPr>
      <w:pStyle w:val="Footer"/>
      <w:jc w:val="center"/>
    </w:pPr>
    <w:r>
      <w:rPr>
        <w:noProof/>
        <w:color w:val="1F497D"/>
      </w:rPr>
      <w:drawing>
        <wp:anchor distT="0" distB="0" distL="114300" distR="114300" simplePos="0" relativeHeight="251661312" behindDoc="1" locked="0" layoutInCell="1" allowOverlap="1" wp14:anchorId="62689ADE" wp14:editId="620A1C8D">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CDAF" w14:textId="77777777" w:rsidR="00A719F6" w:rsidRDefault="00A719F6" w:rsidP="00A719F6">
      <w:r>
        <w:separator/>
      </w:r>
    </w:p>
  </w:footnote>
  <w:footnote w:type="continuationSeparator" w:id="0">
    <w:p w14:paraId="746186DE" w14:textId="77777777" w:rsidR="00A719F6" w:rsidRDefault="00A719F6" w:rsidP="00A719F6">
      <w:r>
        <w:continuationSeparator/>
      </w:r>
    </w:p>
  </w:footnote>
  <w:footnote w:id="1">
    <w:p w14:paraId="26CDA7F4" w14:textId="6760E3C8" w:rsidR="00340527" w:rsidRDefault="00340527" w:rsidP="00340527">
      <w:pPr>
        <w:pStyle w:val="FootnoteText"/>
      </w:pPr>
      <w:r>
        <w:rPr>
          <w:rStyle w:val="FootnoteReference"/>
        </w:rPr>
        <w:footnoteRef/>
      </w:r>
      <w:r>
        <w:t xml:space="preserve"> </w:t>
      </w:r>
      <w:r w:rsidR="00332BCC">
        <w:t xml:space="preserve">20 CFR </w:t>
      </w:r>
      <w:r>
        <w:t>680.930</w:t>
      </w:r>
    </w:p>
  </w:footnote>
  <w:footnote w:id="2">
    <w:p w14:paraId="3E8FFC40" w14:textId="0B0F556A" w:rsidR="00340527" w:rsidRDefault="00340527">
      <w:pPr>
        <w:pStyle w:val="FootnoteText"/>
      </w:pPr>
      <w:r>
        <w:rPr>
          <w:rStyle w:val="FootnoteReference"/>
        </w:rPr>
        <w:footnoteRef/>
      </w:r>
      <w:r>
        <w:t xml:space="preserve"> </w:t>
      </w:r>
      <w:r w:rsidR="00332BCC">
        <w:t xml:space="preserve">20 CFR </w:t>
      </w:r>
      <w:r>
        <w:t>680.950 (a)</w:t>
      </w:r>
    </w:p>
  </w:footnote>
  <w:footnote w:id="3">
    <w:p w14:paraId="4FCF8FF0" w14:textId="664C6A3E" w:rsidR="00340527" w:rsidRDefault="00340527" w:rsidP="00340527">
      <w:pPr>
        <w:pStyle w:val="FootnoteText"/>
      </w:pPr>
      <w:r>
        <w:rPr>
          <w:rStyle w:val="FootnoteReference"/>
        </w:rPr>
        <w:footnoteRef/>
      </w:r>
      <w:r>
        <w:t xml:space="preserve"> </w:t>
      </w:r>
      <w:r w:rsidR="00332BCC">
        <w:t xml:space="preserve">20 CFR </w:t>
      </w:r>
      <w:r>
        <w:t>680.950 (a)(1)</w:t>
      </w:r>
    </w:p>
  </w:footnote>
  <w:footnote w:id="4">
    <w:p w14:paraId="04AEA58E" w14:textId="1C94C935" w:rsidR="00340527" w:rsidRDefault="00340527">
      <w:pPr>
        <w:pStyle w:val="FootnoteText"/>
      </w:pPr>
      <w:r>
        <w:rPr>
          <w:rStyle w:val="FootnoteReference"/>
        </w:rPr>
        <w:footnoteRef/>
      </w:r>
      <w:r>
        <w:t xml:space="preserve"> WIOA sec. 134(c)(3) </w:t>
      </w:r>
      <w:r w:rsidR="00332BCC">
        <w:t xml:space="preserve"> and 20 CFR 680.950 (a)(2)</w:t>
      </w:r>
    </w:p>
  </w:footnote>
  <w:footnote w:id="5">
    <w:p w14:paraId="3A349F66" w14:textId="12F7B353" w:rsidR="00AB770C" w:rsidRDefault="00AB770C">
      <w:pPr>
        <w:pStyle w:val="FootnoteText"/>
      </w:pPr>
      <w:r>
        <w:rPr>
          <w:rStyle w:val="FootnoteReference"/>
        </w:rPr>
        <w:footnoteRef/>
      </w:r>
      <w:r>
        <w:t xml:space="preserve"> </w:t>
      </w:r>
      <w:r w:rsidR="00332BCC">
        <w:t xml:space="preserve">20 CFR </w:t>
      </w:r>
      <w:r>
        <w:t>680.970</w:t>
      </w:r>
    </w:p>
  </w:footnote>
  <w:footnote w:id="6">
    <w:p w14:paraId="786DA7A1" w14:textId="43A72C0D" w:rsidR="00AB770C" w:rsidRDefault="00AB770C">
      <w:pPr>
        <w:pStyle w:val="FootnoteText"/>
      </w:pPr>
      <w:r>
        <w:rPr>
          <w:rStyle w:val="FootnoteReference"/>
        </w:rPr>
        <w:footnoteRef/>
      </w:r>
      <w:r>
        <w:t xml:space="preserve"> </w:t>
      </w:r>
      <w:r w:rsidR="00332BCC">
        <w:t xml:space="preserve">20 CFR </w:t>
      </w:r>
      <w:r>
        <w:t>680.960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4BF5" w14:textId="47950DEB" w:rsidR="00E91E31" w:rsidRDefault="00E91E31">
    <w:pPr>
      <w:pStyle w:val="Header"/>
    </w:pPr>
    <w:r w:rsidRPr="00864E12">
      <w:rPr>
        <w:rFonts w:ascii="Arial" w:hAnsi="Arial" w:cs="Arial"/>
        <w:noProof/>
        <w:sz w:val="24"/>
      </w:rPr>
      <w:drawing>
        <wp:anchor distT="0" distB="0" distL="114300" distR="114300" simplePos="0" relativeHeight="251659264" behindDoc="1" locked="0" layoutInCell="1" allowOverlap="1" wp14:anchorId="243E1C77" wp14:editId="39E432BC">
          <wp:simplePos x="0" y="0"/>
          <wp:positionH relativeFrom="margin">
            <wp:posOffset>-19050</wp:posOffset>
          </wp:positionH>
          <wp:positionV relativeFrom="paragraph">
            <wp:posOffset>-554990</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BE4AB" w14:textId="77777777" w:rsidR="00E91E31" w:rsidRDefault="00E91E31">
    <w:pPr>
      <w:pStyle w:val="Header"/>
    </w:pPr>
  </w:p>
  <w:p w14:paraId="1D907F31" w14:textId="77777777" w:rsidR="00E91E31" w:rsidRDefault="00E91E31">
    <w:pPr>
      <w:pStyle w:val="Header"/>
    </w:pPr>
  </w:p>
  <w:p w14:paraId="35069504" w14:textId="77777777" w:rsidR="00E91E31" w:rsidRPr="0051088F" w:rsidRDefault="00E91E31" w:rsidP="00E91E3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027B17DD" w14:textId="77777777" w:rsidR="00E91E31" w:rsidRDefault="00E91E31">
    <w:pPr>
      <w:pStyle w:val="Header"/>
    </w:pPr>
  </w:p>
  <w:p w14:paraId="1BFA6FC2" w14:textId="3288DD0D" w:rsidR="00E91E31" w:rsidRDefault="00E9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F82"/>
    <w:multiLevelType w:val="hybridMultilevel"/>
    <w:tmpl w:val="16DC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0396"/>
    <w:multiLevelType w:val="hybridMultilevel"/>
    <w:tmpl w:val="70C222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20D40"/>
    <w:multiLevelType w:val="hybridMultilevel"/>
    <w:tmpl w:val="E70E8D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2FE262E"/>
    <w:multiLevelType w:val="hybridMultilevel"/>
    <w:tmpl w:val="B4DE6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C5B35"/>
    <w:multiLevelType w:val="hybridMultilevel"/>
    <w:tmpl w:val="6C22F3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36968"/>
    <w:multiLevelType w:val="hybridMultilevel"/>
    <w:tmpl w:val="F67A719A"/>
    <w:lvl w:ilvl="0" w:tplc="F83A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B0B18"/>
    <w:multiLevelType w:val="hybridMultilevel"/>
    <w:tmpl w:val="5A42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4032D"/>
    <w:multiLevelType w:val="multilevel"/>
    <w:tmpl w:val="F664F3B0"/>
    <w:lvl w:ilvl="0">
      <w:start w:val="1"/>
      <w:numFmt w:val="decimal"/>
      <w:lvlText w:val="%1"/>
      <w:lvlJc w:val="left"/>
      <w:pPr>
        <w:ind w:left="360" w:hanging="360"/>
      </w:pPr>
      <w:rPr>
        <w:rFonts w:hint="default"/>
      </w:rPr>
    </w:lvl>
    <w:lvl w:ilvl="1">
      <w:start w:val="1"/>
      <w:numFmt w:val="decimal"/>
      <w:lvlText w:val="%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8B4285"/>
    <w:multiLevelType w:val="hybridMultilevel"/>
    <w:tmpl w:val="758C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55D0"/>
    <w:multiLevelType w:val="hybridMultilevel"/>
    <w:tmpl w:val="94A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0"/>
  </w:num>
  <w:num w:numId="6">
    <w:abstractNumId w:val="5"/>
  </w:num>
  <w:num w:numId="7">
    <w:abstractNumId w:val="1"/>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A1"/>
    <w:rsid w:val="00032F46"/>
    <w:rsid w:val="000542BF"/>
    <w:rsid w:val="000713D7"/>
    <w:rsid w:val="000738AF"/>
    <w:rsid w:val="000747ED"/>
    <w:rsid w:val="000812E6"/>
    <w:rsid w:val="00087725"/>
    <w:rsid w:val="000A068E"/>
    <w:rsid w:val="000E10F1"/>
    <w:rsid w:val="00137AB2"/>
    <w:rsid w:val="00140FF4"/>
    <w:rsid w:val="00166818"/>
    <w:rsid w:val="001D40B4"/>
    <w:rsid w:val="00211E3C"/>
    <w:rsid w:val="00221AFA"/>
    <w:rsid w:val="00255327"/>
    <w:rsid w:val="00262DA0"/>
    <w:rsid w:val="002636DB"/>
    <w:rsid w:val="002923F1"/>
    <w:rsid w:val="002B4C61"/>
    <w:rsid w:val="002E7CD3"/>
    <w:rsid w:val="003031FB"/>
    <w:rsid w:val="00332BCC"/>
    <w:rsid w:val="00340527"/>
    <w:rsid w:val="00342A49"/>
    <w:rsid w:val="0035031C"/>
    <w:rsid w:val="003713F0"/>
    <w:rsid w:val="003955BD"/>
    <w:rsid w:val="003C30C1"/>
    <w:rsid w:val="003C5C09"/>
    <w:rsid w:val="0040351A"/>
    <w:rsid w:val="00426E65"/>
    <w:rsid w:val="00447AA9"/>
    <w:rsid w:val="00462474"/>
    <w:rsid w:val="00490202"/>
    <w:rsid w:val="004C5717"/>
    <w:rsid w:val="004C6E01"/>
    <w:rsid w:val="004D2897"/>
    <w:rsid w:val="004E2F78"/>
    <w:rsid w:val="0051088F"/>
    <w:rsid w:val="00537495"/>
    <w:rsid w:val="005F139D"/>
    <w:rsid w:val="00605AB5"/>
    <w:rsid w:val="006173B4"/>
    <w:rsid w:val="00617EBC"/>
    <w:rsid w:val="00634D2C"/>
    <w:rsid w:val="00663B43"/>
    <w:rsid w:val="006A1AB0"/>
    <w:rsid w:val="00701AF1"/>
    <w:rsid w:val="0070491E"/>
    <w:rsid w:val="0070576B"/>
    <w:rsid w:val="00707E3B"/>
    <w:rsid w:val="00712213"/>
    <w:rsid w:val="007205D8"/>
    <w:rsid w:val="00747616"/>
    <w:rsid w:val="00774D6F"/>
    <w:rsid w:val="00782DE4"/>
    <w:rsid w:val="00783A88"/>
    <w:rsid w:val="007C0062"/>
    <w:rsid w:val="008156CC"/>
    <w:rsid w:val="00841369"/>
    <w:rsid w:val="00851664"/>
    <w:rsid w:val="00864E12"/>
    <w:rsid w:val="008759C0"/>
    <w:rsid w:val="00890C0E"/>
    <w:rsid w:val="008C3B6A"/>
    <w:rsid w:val="008F0FA0"/>
    <w:rsid w:val="00914B7C"/>
    <w:rsid w:val="00940FC1"/>
    <w:rsid w:val="009465D9"/>
    <w:rsid w:val="00957389"/>
    <w:rsid w:val="00965A41"/>
    <w:rsid w:val="009A711C"/>
    <w:rsid w:val="009B62A1"/>
    <w:rsid w:val="009C115E"/>
    <w:rsid w:val="009C64DD"/>
    <w:rsid w:val="009D14A4"/>
    <w:rsid w:val="009D4D2E"/>
    <w:rsid w:val="009E2FD3"/>
    <w:rsid w:val="009F74DB"/>
    <w:rsid w:val="00A051D9"/>
    <w:rsid w:val="00A436D5"/>
    <w:rsid w:val="00A719F6"/>
    <w:rsid w:val="00AB770C"/>
    <w:rsid w:val="00AC588F"/>
    <w:rsid w:val="00AD65A3"/>
    <w:rsid w:val="00AE0D09"/>
    <w:rsid w:val="00B0164A"/>
    <w:rsid w:val="00B12BA0"/>
    <w:rsid w:val="00B178E6"/>
    <w:rsid w:val="00B434D0"/>
    <w:rsid w:val="00B52F88"/>
    <w:rsid w:val="00B53D35"/>
    <w:rsid w:val="00B87BD8"/>
    <w:rsid w:val="00CB6003"/>
    <w:rsid w:val="00CC0647"/>
    <w:rsid w:val="00CD13EB"/>
    <w:rsid w:val="00D35BFA"/>
    <w:rsid w:val="00D74FC1"/>
    <w:rsid w:val="00D7690F"/>
    <w:rsid w:val="00D9139A"/>
    <w:rsid w:val="00DC7ECC"/>
    <w:rsid w:val="00E11766"/>
    <w:rsid w:val="00E15080"/>
    <w:rsid w:val="00E420F0"/>
    <w:rsid w:val="00E852EE"/>
    <w:rsid w:val="00E91E31"/>
    <w:rsid w:val="00E93896"/>
    <w:rsid w:val="00E95C74"/>
    <w:rsid w:val="00E97B24"/>
    <w:rsid w:val="00EB473F"/>
    <w:rsid w:val="00EB71DC"/>
    <w:rsid w:val="00EC2E35"/>
    <w:rsid w:val="00EE59CD"/>
    <w:rsid w:val="00F0320E"/>
    <w:rsid w:val="00F04C8A"/>
    <w:rsid w:val="00F155B8"/>
    <w:rsid w:val="00F53B2A"/>
    <w:rsid w:val="00F7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972042"/>
  <w15:docId w15:val="{D2159812-3129-447A-B01D-A8AC10ED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F1"/>
    <w:pPr>
      <w:ind w:left="720"/>
      <w:contextualSpacing/>
    </w:pPr>
  </w:style>
  <w:style w:type="table" w:styleId="TableGrid">
    <w:name w:val="Table Grid"/>
    <w:basedOn w:val="TableNormal"/>
    <w:rsid w:val="00AC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EB"/>
    <w:rPr>
      <w:rFonts w:ascii="Segoe UI" w:hAnsi="Segoe UI" w:cs="Segoe UI"/>
      <w:sz w:val="18"/>
      <w:szCs w:val="18"/>
    </w:rPr>
  </w:style>
  <w:style w:type="paragraph" w:styleId="Header">
    <w:name w:val="header"/>
    <w:basedOn w:val="Normal"/>
    <w:link w:val="HeaderChar"/>
    <w:uiPriority w:val="99"/>
    <w:unhideWhenUsed/>
    <w:rsid w:val="00E11766"/>
    <w:pPr>
      <w:tabs>
        <w:tab w:val="center" w:pos="4680"/>
        <w:tab w:val="right" w:pos="9360"/>
      </w:tabs>
    </w:pPr>
  </w:style>
  <w:style w:type="character" w:customStyle="1" w:styleId="HeaderChar">
    <w:name w:val="Header Char"/>
    <w:basedOn w:val="DefaultParagraphFont"/>
    <w:link w:val="Header"/>
    <w:uiPriority w:val="99"/>
    <w:rsid w:val="00E11766"/>
  </w:style>
  <w:style w:type="paragraph" w:styleId="Footer">
    <w:name w:val="footer"/>
    <w:basedOn w:val="Normal"/>
    <w:link w:val="FooterChar"/>
    <w:uiPriority w:val="99"/>
    <w:unhideWhenUsed/>
    <w:rsid w:val="00A719F6"/>
    <w:pPr>
      <w:tabs>
        <w:tab w:val="center" w:pos="4680"/>
        <w:tab w:val="right" w:pos="9360"/>
      </w:tabs>
    </w:pPr>
  </w:style>
  <w:style w:type="character" w:customStyle="1" w:styleId="FooterChar">
    <w:name w:val="Footer Char"/>
    <w:basedOn w:val="DefaultParagraphFont"/>
    <w:link w:val="Footer"/>
    <w:uiPriority w:val="99"/>
    <w:rsid w:val="00A719F6"/>
  </w:style>
  <w:style w:type="paragraph" w:customStyle="1" w:styleId="Default">
    <w:name w:val="Default"/>
    <w:rsid w:val="005374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4C8A"/>
    <w:rPr>
      <w:sz w:val="16"/>
      <w:szCs w:val="16"/>
    </w:rPr>
  </w:style>
  <w:style w:type="paragraph" w:styleId="CommentText">
    <w:name w:val="annotation text"/>
    <w:basedOn w:val="Normal"/>
    <w:link w:val="CommentTextChar"/>
    <w:uiPriority w:val="99"/>
    <w:semiHidden/>
    <w:unhideWhenUsed/>
    <w:rsid w:val="00F04C8A"/>
    <w:rPr>
      <w:sz w:val="20"/>
      <w:szCs w:val="20"/>
    </w:rPr>
  </w:style>
  <w:style w:type="character" w:customStyle="1" w:styleId="CommentTextChar">
    <w:name w:val="Comment Text Char"/>
    <w:basedOn w:val="DefaultParagraphFont"/>
    <w:link w:val="CommentText"/>
    <w:uiPriority w:val="99"/>
    <w:semiHidden/>
    <w:rsid w:val="00F04C8A"/>
    <w:rPr>
      <w:sz w:val="20"/>
      <w:szCs w:val="20"/>
    </w:rPr>
  </w:style>
  <w:style w:type="paragraph" w:styleId="CommentSubject">
    <w:name w:val="annotation subject"/>
    <w:basedOn w:val="CommentText"/>
    <w:next w:val="CommentText"/>
    <w:link w:val="CommentSubjectChar"/>
    <w:uiPriority w:val="99"/>
    <w:semiHidden/>
    <w:unhideWhenUsed/>
    <w:rsid w:val="00F04C8A"/>
    <w:rPr>
      <w:b/>
      <w:bCs/>
    </w:rPr>
  </w:style>
  <w:style w:type="character" w:customStyle="1" w:styleId="CommentSubjectChar">
    <w:name w:val="Comment Subject Char"/>
    <w:basedOn w:val="CommentTextChar"/>
    <w:link w:val="CommentSubject"/>
    <w:uiPriority w:val="99"/>
    <w:semiHidden/>
    <w:rsid w:val="00F04C8A"/>
    <w:rPr>
      <w:b/>
      <w:bCs/>
      <w:sz w:val="20"/>
      <w:szCs w:val="20"/>
    </w:rPr>
  </w:style>
  <w:style w:type="character" w:styleId="Hyperlink">
    <w:name w:val="Hyperlink"/>
    <w:uiPriority w:val="99"/>
    <w:rsid w:val="00D35BFA"/>
    <w:rPr>
      <w:color w:val="0000FF"/>
      <w:u w:val="single"/>
    </w:rPr>
  </w:style>
  <w:style w:type="paragraph" w:styleId="NormalWeb">
    <w:name w:val="Normal (Web)"/>
    <w:basedOn w:val="Normal"/>
    <w:uiPriority w:val="99"/>
    <w:semiHidden/>
    <w:unhideWhenUsed/>
    <w:rsid w:val="00D35BF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AD65A3"/>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D65A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6E01"/>
    <w:rPr>
      <w:sz w:val="20"/>
      <w:szCs w:val="20"/>
    </w:rPr>
  </w:style>
  <w:style w:type="character" w:customStyle="1" w:styleId="FootnoteTextChar">
    <w:name w:val="Footnote Text Char"/>
    <w:basedOn w:val="DefaultParagraphFont"/>
    <w:link w:val="FootnoteText"/>
    <w:uiPriority w:val="99"/>
    <w:semiHidden/>
    <w:rsid w:val="004C6E01"/>
    <w:rPr>
      <w:sz w:val="20"/>
      <w:szCs w:val="20"/>
    </w:rPr>
  </w:style>
  <w:style w:type="character" w:styleId="FootnoteReference">
    <w:name w:val="footnote reference"/>
    <w:basedOn w:val="DefaultParagraphFont"/>
    <w:uiPriority w:val="99"/>
    <w:semiHidden/>
    <w:unhideWhenUsed/>
    <w:rsid w:val="004C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338">
      <w:bodyDiv w:val="1"/>
      <w:marLeft w:val="0"/>
      <w:marRight w:val="0"/>
      <w:marTop w:val="0"/>
      <w:marBottom w:val="0"/>
      <w:divBdr>
        <w:top w:val="none" w:sz="0" w:space="0" w:color="auto"/>
        <w:left w:val="none" w:sz="0" w:space="0" w:color="auto"/>
        <w:bottom w:val="none" w:sz="0" w:space="0" w:color="auto"/>
        <w:right w:val="none" w:sz="0" w:space="0" w:color="auto"/>
      </w:divBdr>
    </w:div>
    <w:div w:id="512260220">
      <w:bodyDiv w:val="1"/>
      <w:marLeft w:val="0"/>
      <w:marRight w:val="0"/>
      <w:marTop w:val="0"/>
      <w:marBottom w:val="0"/>
      <w:divBdr>
        <w:top w:val="none" w:sz="0" w:space="0" w:color="auto"/>
        <w:left w:val="none" w:sz="0" w:space="0" w:color="auto"/>
        <w:bottom w:val="none" w:sz="0" w:space="0" w:color="auto"/>
        <w:right w:val="none" w:sz="0" w:space="0" w:color="auto"/>
      </w:divBdr>
    </w:div>
    <w:div w:id="1067875795">
      <w:bodyDiv w:val="1"/>
      <w:marLeft w:val="0"/>
      <w:marRight w:val="0"/>
      <w:marTop w:val="0"/>
      <w:marBottom w:val="0"/>
      <w:divBdr>
        <w:top w:val="none" w:sz="0" w:space="0" w:color="auto"/>
        <w:left w:val="none" w:sz="0" w:space="0" w:color="auto"/>
        <w:bottom w:val="none" w:sz="0" w:space="0" w:color="auto"/>
        <w:right w:val="none" w:sz="0" w:space="0" w:color="auto"/>
      </w:divBdr>
    </w:div>
    <w:div w:id="14711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F43A-E6E7-4D43-8DD9-5DA80E9E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Fox</dc:creator>
  <cp:lastModifiedBy>Wren, Dylan</cp:lastModifiedBy>
  <cp:revision>15</cp:revision>
  <cp:lastPrinted>2017-12-21T18:02:00Z</cp:lastPrinted>
  <dcterms:created xsi:type="dcterms:W3CDTF">2017-12-20T15:18:00Z</dcterms:created>
  <dcterms:modified xsi:type="dcterms:W3CDTF">2018-02-05T21:38:00Z</dcterms:modified>
</cp:coreProperties>
</file>