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pPr w:leftFromText="180" w:rightFromText="180" w:vertAnchor="text" w:horzAnchor="margin" w:tblpXSpec="right" w:tblpY="91"/>
        <w:tblW w:w="0" w:type="auto"/>
        <w:tblLook w:val="04A0" w:firstRow="1" w:lastRow="0" w:firstColumn="1" w:lastColumn="0" w:noHBand="0" w:noVBand="1"/>
      </w:tblPr>
      <w:tblGrid>
        <w:gridCol w:w="1620"/>
        <w:gridCol w:w="1795"/>
      </w:tblGrid>
      <w:tr w:rsidR="00E81451" w:rsidRPr="00E81451" w:rsidTr="00E81451">
        <w:tc>
          <w:tcPr>
            <w:tcW w:w="1620" w:type="dxa"/>
          </w:tcPr>
          <w:p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 xml:space="preserve">Policy No. </w:t>
            </w:r>
          </w:p>
        </w:tc>
        <w:tc>
          <w:tcPr>
            <w:tcW w:w="1795" w:type="dxa"/>
          </w:tcPr>
          <w:p w:rsidR="00E81451" w:rsidRPr="00E81451" w:rsidRDefault="00EB6E5D" w:rsidP="00E81451">
            <w:pPr>
              <w:rPr>
                <w:rFonts w:ascii="Arial" w:eastAsia="Calibri" w:hAnsi="Arial" w:cs="Arial"/>
                <w:sz w:val="72"/>
                <w:szCs w:val="72"/>
              </w:rPr>
            </w:pPr>
            <w:r>
              <w:rPr>
                <w:rFonts w:ascii="Montserrat-Bold" w:eastAsia="Calibri" w:hAnsi="Montserrat-Bold" w:cs="Montserrat-Bold"/>
                <w:b/>
                <w:bCs/>
                <w:color w:val="BB1F53"/>
                <w:sz w:val="72"/>
                <w:szCs w:val="72"/>
              </w:rPr>
              <w:t>14</w:t>
            </w:r>
            <w:bookmarkStart w:id="0" w:name="_GoBack"/>
            <w:bookmarkEnd w:id="0"/>
          </w:p>
        </w:tc>
      </w:tr>
      <w:tr w:rsidR="00E81451" w:rsidRPr="00E81451" w:rsidTr="00E81451">
        <w:tc>
          <w:tcPr>
            <w:tcW w:w="1620" w:type="dxa"/>
          </w:tcPr>
          <w:p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Effective Date</w:t>
            </w:r>
          </w:p>
        </w:tc>
        <w:tc>
          <w:tcPr>
            <w:tcW w:w="1795" w:type="dxa"/>
          </w:tcPr>
          <w:p w:rsidR="00E81451" w:rsidRPr="00E81451" w:rsidRDefault="00861EDF" w:rsidP="00E81451">
            <w:pPr>
              <w:rPr>
                <w:rFonts w:ascii="Arial" w:eastAsia="Calibri" w:hAnsi="Arial" w:cs="Arial"/>
                <w:sz w:val="20"/>
                <w:szCs w:val="20"/>
              </w:rPr>
            </w:pPr>
            <w:r>
              <w:rPr>
                <w:rFonts w:ascii="Arial" w:eastAsia="Calibri" w:hAnsi="Arial" w:cs="Arial"/>
                <w:sz w:val="20"/>
                <w:szCs w:val="20"/>
              </w:rPr>
              <w:t>5/23</w:t>
            </w:r>
            <w:r w:rsidR="00FE432E">
              <w:rPr>
                <w:rFonts w:ascii="Arial" w:eastAsia="Calibri" w:hAnsi="Arial" w:cs="Arial"/>
                <w:sz w:val="20"/>
                <w:szCs w:val="20"/>
              </w:rPr>
              <w:t>/2019</w:t>
            </w:r>
          </w:p>
        </w:tc>
      </w:tr>
      <w:tr w:rsidR="00E81451" w:rsidRPr="00E81451" w:rsidTr="00E81451">
        <w:tc>
          <w:tcPr>
            <w:tcW w:w="1620" w:type="dxa"/>
          </w:tcPr>
          <w:p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 xml:space="preserve">Approval </w:t>
            </w:r>
          </w:p>
        </w:tc>
        <w:tc>
          <w:tcPr>
            <w:tcW w:w="1795" w:type="dxa"/>
          </w:tcPr>
          <w:p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 xml:space="preserve">GNWDB </w:t>
            </w:r>
          </w:p>
        </w:tc>
      </w:tr>
    </w:tbl>
    <w:p w:rsidR="00E81451" w:rsidRPr="007C7628" w:rsidRDefault="00A83999" w:rsidP="00E81451">
      <w:pPr>
        <w:rPr>
          <w:rFonts w:ascii="Arial" w:hAnsi="Arial" w:cs="Arial"/>
          <w:b/>
          <w:bCs/>
          <w:color w:val="00607F"/>
          <w:sz w:val="56"/>
          <w:szCs w:val="56"/>
        </w:rPr>
      </w:pPr>
      <w:r>
        <w:rPr>
          <w:rFonts w:ascii="Arial" w:hAnsi="Arial" w:cs="Arial"/>
          <w:b/>
          <w:bCs/>
          <w:color w:val="00607F"/>
          <w:sz w:val="56"/>
          <w:szCs w:val="56"/>
        </w:rPr>
        <w:t>On-the-Job Training</w:t>
      </w:r>
      <w:r w:rsidR="007B45E5" w:rsidRPr="007C7628">
        <w:rPr>
          <w:rFonts w:ascii="Arial" w:hAnsi="Arial" w:cs="Arial"/>
          <w:b/>
          <w:bCs/>
          <w:color w:val="00607F"/>
          <w:sz w:val="56"/>
          <w:szCs w:val="56"/>
        </w:rPr>
        <w:t xml:space="preserve"> </w:t>
      </w:r>
      <w:r w:rsidR="00E81451" w:rsidRPr="007C7628">
        <w:rPr>
          <w:rFonts w:ascii="Arial" w:hAnsi="Arial" w:cs="Arial"/>
          <w:b/>
          <w:bCs/>
          <w:color w:val="00607F"/>
          <w:sz w:val="56"/>
          <w:szCs w:val="56"/>
        </w:rPr>
        <w:t xml:space="preserve"> </w:t>
      </w:r>
    </w:p>
    <w:p w:rsidR="00E81451" w:rsidRDefault="00E81451" w:rsidP="00685C25">
      <w:pPr>
        <w:spacing w:after="0" w:line="240" w:lineRule="auto"/>
        <w:rPr>
          <w:rFonts w:eastAsia="Times New Roman" w:cs="Times New Roman"/>
          <w:b/>
          <w:u w:val="single"/>
        </w:rPr>
      </w:pPr>
    </w:p>
    <w:p w:rsidR="007B45E5" w:rsidRDefault="007B45E5" w:rsidP="00685C25">
      <w:pPr>
        <w:spacing w:after="0" w:line="240" w:lineRule="auto"/>
        <w:rPr>
          <w:rFonts w:eastAsia="Times New Roman" w:cs="Times New Roman"/>
          <w:b/>
          <w:u w:val="single"/>
        </w:rPr>
      </w:pPr>
    </w:p>
    <w:p w:rsidR="007B45E5" w:rsidRDefault="007B45E5" w:rsidP="00685C25">
      <w:pPr>
        <w:spacing w:after="0" w:line="240" w:lineRule="auto"/>
        <w:rPr>
          <w:rFonts w:eastAsia="Times New Roman" w:cs="Times New Roman"/>
          <w:b/>
          <w:u w:val="single"/>
        </w:rPr>
      </w:pPr>
    </w:p>
    <w:p w:rsidR="00685C25" w:rsidRPr="001D3870" w:rsidRDefault="00685C25" w:rsidP="00E124F8">
      <w:pPr>
        <w:spacing w:after="0" w:line="240" w:lineRule="auto"/>
        <w:jc w:val="both"/>
        <w:rPr>
          <w:rFonts w:eastAsia="Times New Roman" w:cs="Times New Roman"/>
          <w:b/>
          <w:color w:val="00607F"/>
          <w:u w:val="single"/>
        </w:rPr>
      </w:pPr>
      <w:r w:rsidRPr="001D3870">
        <w:rPr>
          <w:rFonts w:eastAsia="+mn-ea" w:cs="Times New Roman"/>
          <w:b/>
          <w:bCs/>
          <w:color w:val="00607F"/>
          <w:kern w:val="24"/>
          <w:sz w:val="28"/>
          <w:szCs w:val="28"/>
          <w:u w:val="single"/>
        </w:rPr>
        <w:t>Ref</w:t>
      </w:r>
      <w:r w:rsidRPr="001936C4">
        <w:rPr>
          <w:rFonts w:eastAsia="+mn-ea" w:cs="Times New Roman"/>
          <w:b/>
          <w:bCs/>
          <w:color w:val="00607F"/>
          <w:kern w:val="24"/>
          <w:sz w:val="28"/>
          <w:szCs w:val="28"/>
          <w:u w:val="single"/>
        </w:rPr>
        <w:t>ere</w:t>
      </w:r>
      <w:r w:rsidRPr="001D3870">
        <w:rPr>
          <w:rFonts w:eastAsia="+mn-ea" w:cs="Times New Roman"/>
          <w:b/>
          <w:bCs/>
          <w:color w:val="00607F"/>
          <w:kern w:val="24"/>
          <w:sz w:val="28"/>
          <w:szCs w:val="28"/>
          <w:u w:val="single"/>
        </w:rPr>
        <w:t>nce</w:t>
      </w:r>
      <w:r w:rsidR="009D2F91" w:rsidRPr="001D3870">
        <w:rPr>
          <w:rFonts w:eastAsia="Times New Roman" w:cs="Times New Roman"/>
          <w:b/>
          <w:color w:val="00607F"/>
          <w:u w:val="single"/>
        </w:rPr>
        <w:t xml:space="preserve"> </w:t>
      </w:r>
    </w:p>
    <w:p w:rsidR="006C784E" w:rsidRPr="00F02EAF" w:rsidRDefault="00F02EAF" w:rsidP="00F02EAF">
      <w:pPr>
        <w:spacing w:line="240" w:lineRule="auto"/>
        <w:jc w:val="both"/>
        <w:rPr>
          <w:sz w:val="24"/>
        </w:rPr>
      </w:pPr>
      <w:r w:rsidRPr="00845444">
        <w:rPr>
          <w:sz w:val="24"/>
        </w:rPr>
        <w:t>Workforce Innovation and Opportunity Act</w:t>
      </w:r>
      <w:r>
        <w:rPr>
          <w:sz w:val="24"/>
        </w:rPr>
        <w:t xml:space="preserve"> (WIOA</w:t>
      </w:r>
      <w:r w:rsidRPr="00E165E6">
        <w:rPr>
          <w:sz w:val="24"/>
        </w:rPr>
        <w:t>) 134, 181, 194;</w:t>
      </w:r>
      <w:r w:rsidRPr="00845444">
        <w:rPr>
          <w:sz w:val="24"/>
        </w:rPr>
        <w:t xml:space="preserve"> </w:t>
      </w:r>
      <w:r w:rsidR="005A2592">
        <w:rPr>
          <w:sz w:val="24"/>
        </w:rPr>
        <w:t xml:space="preserve">20 CFR </w:t>
      </w:r>
      <w:r w:rsidR="00E165E6">
        <w:rPr>
          <w:sz w:val="24"/>
        </w:rPr>
        <w:t>§ 680.320, 680.530, 680.70</w:t>
      </w:r>
      <w:r w:rsidRPr="00845444">
        <w:rPr>
          <w:sz w:val="24"/>
        </w:rPr>
        <w:t>0</w:t>
      </w:r>
      <w:r w:rsidR="00E165E6">
        <w:rPr>
          <w:sz w:val="24"/>
        </w:rPr>
        <w:t>-680.750, 683.260-683.275, 683.410, 683.600; 29 CFR § 206(a)(1); Tegl 19-16;</w:t>
      </w:r>
      <w:r>
        <w:rPr>
          <w:sz w:val="24"/>
        </w:rPr>
        <w:t xml:space="preserve"> </w:t>
      </w:r>
      <w:r w:rsidR="00B01C86">
        <w:rPr>
          <w:sz w:val="24"/>
        </w:rPr>
        <w:t xml:space="preserve">84 FR 1167; </w:t>
      </w:r>
      <w:r>
        <w:rPr>
          <w:sz w:val="24"/>
        </w:rPr>
        <w:t>Nebraska Department of Labor (NDOL) On-the-Job Training Policy.</w:t>
      </w:r>
    </w:p>
    <w:p w:rsidR="007402F4" w:rsidRPr="00861EDF" w:rsidRDefault="00685C25" w:rsidP="00861EDF">
      <w:pPr>
        <w:tabs>
          <w:tab w:val="left" w:pos="8595"/>
        </w:tabs>
        <w:spacing w:after="0" w:line="240" w:lineRule="auto"/>
        <w:jc w:val="both"/>
        <w:rPr>
          <w:rFonts w:eastAsia="+mn-ea" w:cs="Times New Roman"/>
          <w:b/>
          <w:bCs/>
          <w:color w:val="00607F"/>
          <w:kern w:val="24"/>
          <w:sz w:val="28"/>
          <w:szCs w:val="28"/>
          <w:u w:val="single"/>
        </w:rPr>
      </w:pPr>
      <w:r w:rsidRPr="0080664C">
        <w:rPr>
          <w:rFonts w:eastAsia="+mn-ea" w:cs="Times New Roman"/>
          <w:b/>
          <w:bCs/>
          <w:color w:val="00607F"/>
          <w:kern w:val="24"/>
          <w:sz w:val="28"/>
          <w:szCs w:val="28"/>
          <w:u w:val="single"/>
        </w:rPr>
        <w:t xml:space="preserve">Policy </w:t>
      </w:r>
      <w:r w:rsidR="00E53209">
        <w:rPr>
          <w:rFonts w:eastAsia="+mn-ea" w:cs="Times New Roman"/>
          <w:b/>
          <w:bCs/>
          <w:color w:val="00607F"/>
          <w:kern w:val="24"/>
          <w:sz w:val="28"/>
          <w:szCs w:val="28"/>
          <w:u w:val="single"/>
        </w:rPr>
        <w:tab/>
      </w:r>
      <w:r w:rsidR="006502DF">
        <w:rPr>
          <w:rFonts w:cs="Times New Roman"/>
          <w:sz w:val="24"/>
          <w:szCs w:val="24"/>
        </w:rPr>
        <w:t xml:space="preserve"> </w:t>
      </w:r>
    </w:p>
    <w:p w:rsidR="00861EDF" w:rsidRDefault="00861EDF" w:rsidP="007A6585">
      <w:pPr>
        <w:spacing w:after="0" w:line="240" w:lineRule="auto"/>
        <w:jc w:val="both"/>
        <w:rPr>
          <w:rFonts w:cs="Times New Roman"/>
          <w:sz w:val="24"/>
          <w:szCs w:val="24"/>
        </w:rPr>
      </w:pPr>
    </w:p>
    <w:p w:rsidR="00113843" w:rsidRPr="001623C7" w:rsidRDefault="00906915" w:rsidP="001623C7">
      <w:pPr>
        <w:spacing w:after="0" w:line="240" w:lineRule="auto"/>
        <w:jc w:val="both"/>
        <w:rPr>
          <w:rFonts w:cs="Times New Roman"/>
          <w:b/>
          <w:color w:val="BB1F53"/>
          <w:sz w:val="24"/>
          <w:szCs w:val="24"/>
        </w:rPr>
      </w:pPr>
      <w:r w:rsidRPr="00906915">
        <w:rPr>
          <w:rFonts w:cs="Times New Roman"/>
          <w:b/>
          <w:color w:val="BB1F53"/>
          <w:sz w:val="24"/>
          <w:szCs w:val="24"/>
        </w:rPr>
        <w:t>Background</w:t>
      </w:r>
    </w:p>
    <w:p w:rsidR="00113843" w:rsidRDefault="00113843" w:rsidP="00113843">
      <w:pPr>
        <w:pStyle w:val="Default"/>
        <w:rPr>
          <w:rFonts w:ascii="Times New Roman" w:hAnsi="Times New Roman" w:cs="Times New Roman"/>
          <w:sz w:val="22"/>
          <w:szCs w:val="22"/>
        </w:rPr>
      </w:pPr>
      <w:r w:rsidRPr="00113843">
        <w:rPr>
          <w:rFonts w:ascii="Times New Roman" w:hAnsi="Times New Roman" w:cs="Times New Roman"/>
          <w:sz w:val="22"/>
          <w:szCs w:val="22"/>
        </w:rPr>
        <w:t xml:space="preserve">An On-the-Job Training (OJT) is </w:t>
      </w:r>
      <w:r w:rsidR="00E866B6">
        <w:rPr>
          <w:rFonts w:ascii="Times New Roman" w:hAnsi="Times New Roman" w:cs="Times New Roman"/>
          <w:sz w:val="22"/>
          <w:szCs w:val="22"/>
        </w:rPr>
        <w:t>training</w:t>
      </w:r>
      <w:r w:rsidRPr="00113843">
        <w:rPr>
          <w:rFonts w:ascii="Times New Roman" w:hAnsi="Times New Roman" w:cs="Times New Roman"/>
          <w:sz w:val="22"/>
          <w:szCs w:val="22"/>
        </w:rPr>
        <w:t xml:space="preserve"> by an employer </w:t>
      </w:r>
      <w:r w:rsidR="00E866B6">
        <w:rPr>
          <w:rFonts w:ascii="Times New Roman" w:hAnsi="Times New Roman" w:cs="Times New Roman"/>
          <w:sz w:val="22"/>
          <w:szCs w:val="22"/>
        </w:rPr>
        <w:t xml:space="preserve">that is provided </w:t>
      </w:r>
      <w:r w:rsidRPr="00113843">
        <w:rPr>
          <w:rFonts w:ascii="Times New Roman" w:hAnsi="Times New Roman" w:cs="Times New Roman"/>
          <w:sz w:val="22"/>
          <w:szCs w:val="22"/>
        </w:rPr>
        <w:t>to a paid partici</w:t>
      </w:r>
      <w:r w:rsidR="002D3927">
        <w:rPr>
          <w:rFonts w:ascii="Times New Roman" w:hAnsi="Times New Roman" w:cs="Times New Roman"/>
          <w:sz w:val="22"/>
          <w:szCs w:val="22"/>
        </w:rPr>
        <w:t>pant engaged in productive work</w:t>
      </w:r>
      <w:r w:rsidR="00E866B6">
        <w:rPr>
          <w:rFonts w:ascii="Times New Roman" w:hAnsi="Times New Roman" w:cs="Times New Roman"/>
          <w:sz w:val="22"/>
          <w:szCs w:val="22"/>
        </w:rPr>
        <w:t xml:space="preserve"> to develop specific occupational skills or obtain specialized skills required by an employer that the participant does not already possess. </w:t>
      </w:r>
    </w:p>
    <w:p w:rsidR="00113843" w:rsidRPr="00113843" w:rsidRDefault="00113843" w:rsidP="00113843">
      <w:pPr>
        <w:spacing w:after="0" w:line="240" w:lineRule="auto"/>
        <w:rPr>
          <w:rFonts w:cs="Times New Roman"/>
          <w:sz w:val="24"/>
          <w:szCs w:val="24"/>
        </w:rPr>
      </w:pPr>
    </w:p>
    <w:p w:rsidR="00113843" w:rsidRPr="00113843" w:rsidRDefault="00113843" w:rsidP="00113843">
      <w:pPr>
        <w:pStyle w:val="Style11"/>
        <w:spacing w:before="0" w:after="0"/>
        <w:jc w:val="both"/>
        <w:rPr>
          <w:rFonts w:ascii="Times New Roman" w:eastAsia="+mn-ea" w:hAnsi="Times New Roman" w:cs="Times New Roman"/>
          <w:b/>
          <w:color w:val="BB1F53"/>
          <w:kern w:val="24"/>
          <w:sz w:val="24"/>
          <w:szCs w:val="24"/>
        </w:rPr>
      </w:pPr>
      <w:r>
        <w:rPr>
          <w:rFonts w:ascii="Times New Roman" w:eastAsia="+mn-ea" w:hAnsi="Times New Roman" w:cs="Times New Roman"/>
          <w:b/>
          <w:color w:val="BB1F53"/>
          <w:kern w:val="24"/>
          <w:sz w:val="24"/>
          <w:szCs w:val="24"/>
        </w:rPr>
        <w:t>Youth Priority</w:t>
      </w:r>
    </w:p>
    <w:p w:rsidR="00113843" w:rsidRDefault="00113843" w:rsidP="00113843">
      <w:pPr>
        <w:pStyle w:val="Default"/>
        <w:rPr>
          <w:rFonts w:ascii="Times New Roman" w:hAnsi="Times New Roman" w:cs="Times New Roman"/>
          <w:sz w:val="22"/>
          <w:szCs w:val="22"/>
        </w:rPr>
      </w:pPr>
      <w:r w:rsidRPr="00113843">
        <w:rPr>
          <w:rFonts w:ascii="Times New Roman" w:hAnsi="Times New Roman" w:cs="Times New Roman"/>
          <w:sz w:val="22"/>
          <w:szCs w:val="22"/>
        </w:rPr>
        <w:t xml:space="preserve">Twenty percent of a state’s total WIOA Youth allotment after subtracting the administrative costs must be spent on work experiences for In-School and Out-of-School Youth. </w:t>
      </w:r>
      <w:r w:rsidR="004722C1">
        <w:rPr>
          <w:rFonts w:ascii="Times New Roman" w:hAnsi="Times New Roman" w:cs="Times New Roman"/>
          <w:sz w:val="22"/>
          <w:szCs w:val="22"/>
        </w:rPr>
        <w:t xml:space="preserve">OJTs are considered a type of a </w:t>
      </w:r>
      <w:r w:rsidRPr="00113843">
        <w:rPr>
          <w:rFonts w:ascii="Times New Roman" w:hAnsi="Times New Roman" w:cs="Times New Roman"/>
          <w:sz w:val="22"/>
          <w:szCs w:val="22"/>
        </w:rPr>
        <w:t xml:space="preserve">Youth Work Experience. </w:t>
      </w:r>
    </w:p>
    <w:p w:rsidR="00113843" w:rsidRPr="00113843" w:rsidRDefault="00113843" w:rsidP="00113843">
      <w:pPr>
        <w:spacing w:after="0" w:line="240" w:lineRule="auto"/>
        <w:rPr>
          <w:rFonts w:eastAsia="+mn-ea" w:cs="Times New Roman"/>
          <w:b/>
          <w:bCs/>
          <w:color w:val="BB1F53"/>
          <w:kern w:val="24"/>
          <w:sz w:val="24"/>
          <w:szCs w:val="24"/>
        </w:rPr>
      </w:pPr>
    </w:p>
    <w:p w:rsidR="00113843" w:rsidRPr="00113843" w:rsidRDefault="00512389" w:rsidP="00E866B6">
      <w:pPr>
        <w:spacing w:after="0" w:line="240" w:lineRule="auto"/>
        <w:rPr>
          <w:rFonts w:eastAsia="+mn-ea" w:cs="Times New Roman"/>
          <w:b/>
          <w:bCs/>
          <w:color w:val="BB1F53"/>
          <w:kern w:val="24"/>
          <w:sz w:val="24"/>
          <w:szCs w:val="24"/>
        </w:rPr>
      </w:pPr>
      <w:r>
        <w:rPr>
          <w:rFonts w:eastAsia="+mn-ea" w:cs="Times New Roman"/>
          <w:b/>
          <w:bCs/>
          <w:color w:val="BB1F53"/>
          <w:kern w:val="24"/>
          <w:sz w:val="24"/>
          <w:szCs w:val="24"/>
        </w:rPr>
        <w:t>Participant Eligibility</w:t>
      </w:r>
    </w:p>
    <w:p w:rsidR="00113843" w:rsidRDefault="00220195" w:rsidP="00113843">
      <w:pPr>
        <w:autoSpaceDE w:val="0"/>
        <w:autoSpaceDN w:val="0"/>
        <w:adjustRightInd w:val="0"/>
        <w:spacing w:after="0" w:line="240" w:lineRule="auto"/>
        <w:rPr>
          <w:rFonts w:cs="Times New Roman"/>
          <w:color w:val="000000"/>
        </w:rPr>
      </w:pPr>
      <w:r>
        <w:rPr>
          <w:rFonts w:cs="Times New Roman"/>
          <w:color w:val="000000"/>
        </w:rPr>
        <w:t xml:space="preserve">To be eligible for OJT services, the trainee must: </w:t>
      </w:r>
    </w:p>
    <w:p w:rsidR="00220195" w:rsidRDefault="00220195" w:rsidP="00113843">
      <w:pPr>
        <w:autoSpaceDE w:val="0"/>
        <w:autoSpaceDN w:val="0"/>
        <w:adjustRightInd w:val="0"/>
        <w:spacing w:after="0" w:line="240" w:lineRule="auto"/>
        <w:rPr>
          <w:rFonts w:cs="Times New Roman"/>
          <w:color w:val="000000"/>
        </w:rPr>
      </w:pPr>
    </w:p>
    <w:p w:rsidR="00220195" w:rsidRDefault="00220195" w:rsidP="00220195">
      <w:pPr>
        <w:pStyle w:val="ListParagraph"/>
        <w:numPr>
          <w:ilvl w:val="0"/>
          <w:numId w:val="8"/>
        </w:numPr>
        <w:autoSpaceDE w:val="0"/>
        <w:autoSpaceDN w:val="0"/>
        <w:adjustRightInd w:val="0"/>
        <w:spacing w:after="0" w:line="240" w:lineRule="auto"/>
        <w:rPr>
          <w:rFonts w:cs="Times New Roman"/>
          <w:color w:val="000000"/>
        </w:rPr>
      </w:pPr>
      <w:r>
        <w:rPr>
          <w:rFonts w:cs="Times New Roman"/>
          <w:color w:val="000000"/>
        </w:rPr>
        <w:t>Be enrolled in the WIOA program; and</w:t>
      </w:r>
    </w:p>
    <w:p w:rsidR="00220195" w:rsidRDefault="00220195" w:rsidP="00220195">
      <w:pPr>
        <w:pStyle w:val="ListParagraph"/>
        <w:numPr>
          <w:ilvl w:val="0"/>
          <w:numId w:val="8"/>
        </w:numPr>
        <w:autoSpaceDE w:val="0"/>
        <w:autoSpaceDN w:val="0"/>
        <w:adjustRightInd w:val="0"/>
        <w:spacing w:after="0" w:line="240" w:lineRule="auto"/>
        <w:rPr>
          <w:rFonts w:cs="Times New Roman"/>
          <w:color w:val="000000"/>
        </w:rPr>
      </w:pPr>
      <w:r>
        <w:rPr>
          <w:rFonts w:cs="Times New Roman"/>
          <w:color w:val="000000"/>
        </w:rPr>
        <w:t>Have participated in assessment activities; and</w:t>
      </w:r>
    </w:p>
    <w:p w:rsidR="00220195" w:rsidRDefault="00220195" w:rsidP="00220195">
      <w:pPr>
        <w:pStyle w:val="ListParagraph"/>
        <w:numPr>
          <w:ilvl w:val="0"/>
          <w:numId w:val="8"/>
        </w:numPr>
        <w:autoSpaceDE w:val="0"/>
        <w:autoSpaceDN w:val="0"/>
        <w:adjustRightInd w:val="0"/>
        <w:spacing w:after="0" w:line="240" w:lineRule="auto"/>
        <w:rPr>
          <w:rFonts w:cs="Times New Roman"/>
          <w:color w:val="000000"/>
        </w:rPr>
      </w:pPr>
      <w:r>
        <w:rPr>
          <w:rFonts w:cs="Times New Roman"/>
          <w:color w:val="000000"/>
        </w:rPr>
        <w:t>Have a completed ISS/ IEP; and</w:t>
      </w:r>
    </w:p>
    <w:p w:rsidR="00220195" w:rsidRPr="00220195" w:rsidRDefault="00220195" w:rsidP="00220195">
      <w:pPr>
        <w:pStyle w:val="ListParagraph"/>
        <w:numPr>
          <w:ilvl w:val="0"/>
          <w:numId w:val="8"/>
        </w:numPr>
        <w:autoSpaceDE w:val="0"/>
        <w:autoSpaceDN w:val="0"/>
        <w:adjustRightInd w:val="0"/>
        <w:spacing w:after="0" w:line="240" w:lineRule="auto"/>
        <w:rPr>
          <w:rFonts w:cs="Times New Roman"/>
          <w:color w:val="000000"/>
        </w:rPr>
      </w:pPr>
      <w:r>
        <w:rPr>
          <w:rFonts w:cs="Times New Roman"/>
          <w:color w:val="000000"/>
        </w:rPr>
        <w:t>Be unemployed.</w:t>
      </w:r>
    </w:p>
    <w:p w:rsidR="00220195" w:rsidRDefault="00220195" w:rsidP="00113843">
      <w:pPr>
        <w:autoSpaceDE w:val="0"/>
        <w:autoSpaceDN w:val="0"/>
        <w:adjustRightInd w:val="0"/>
        <w:spacing w:after="0" w:line="240" w:lineRule="auto"/>
        <w:rPr>
          <w:rFonts w:cs="Times New Roman"/>
          <w:b/>
          <w:bCs/>
          <w:iCs/>
          <w:color w:val="BB1F53"/>
        </w:rPr>
      </w:pPr>
    </w:p>
    <w:p w:rsidR="00113843" w:rsidRPr="00113843" w:rsidRDefault="00113843" w:rsidP="00113843">
      <w:pPr>
        <w:autoSpaceDE w:val="0"/>
        <w:autoSpaceDN w:val="0"/>
        <w:adjustRightInd w:val="0"/>
        <w:spacing w:after="0" w:line="240" w:lineRule="auto"/>
        <w:rPr>
          <w:rFonts w:cs="Times New Roman"/>
          <w:color w:val="000000"/>
        </w:rPr>
      </w:pPr>
      <w:r w:rsidRPr="00113843">
        <w:rPr>
          <w:rFonts w:cs="Times New Roman"/>
          <w:b/>
          <w:bCs/>
          <w:iCs/>
          <w:color w:val="BB1F53"/>
        </w:rPr>
        <w:t xml:space="preserve">Employed Worker OJT Eligibility </w:t>
      </w:r>
    </w:p>
    <w:p w:rsidR="00113843" w:rsidRDefault="00113843" w:rsidP="00113843">
      <w:pPr>
        <w:autoSpaceDE w:val="0"/>
        <w:autoSpaceDN w:val="0"/>
        <w:adjustRightInd w:val="0"/>
        <w:spacing w:after="0" w:line="240" w:lineRule="auto"/>
        <w:rPr>
          <w:rFonts w:cs="Times New Roman"/>
          <w:color w:val="000000"/>
        </w:rPr>
      </w:pPr>
      <w:r w:rsidRPr="00113843">
        <w:rPr>
          <w:rFonts w:cs="Times New Roman"/>
          <w:color w:val="000000"/>
        </w:rPr>
        <w:t xml:space="preserve">OJTs may be entered into with </w:t>
      </w:r>
      <w:r w:rsidR="007C7404">
        <w:rPr>
          <w:rFonts w:cs="Times New Roman"/>
          <w:color w:val="000000"/>
        </w:rPr>
        <w:t>employed workers</w:t>
      </w:r>
      <w:r w:rsidRPr="00113843">
        <w:rPr>
          <w:rFonts w:cs="Times New Roman"/>
          <w:color w:val="000000"/>
        </w:rPr>
        <w:t xml:space="preserve"> when</w:t>
      </w:r>
      <w:r w:rsidR="007C7404">
        <w:rPr>
          <w:rFonts w:cs="Times New Roman"/>
          <w:color w:val="000000"/>
        </w:rPr>
        <w:t xml:space="preserve"> the following additional criteria are met</w:t>
      </w:r>
      <w:r w:rsidRPr="00113843">
        <w:rPr>
          <w:rFonts w:cs="Times New Roman"/>
          <w:color w:val="000000"/>
        </w:rPr>
        <w:t xml:space="preserve">: </w:t>
      </w:r>
    </w:p>
    <w:p w:rsidR="001936C4" w:rsidRPr="00113843" w:rsidRDefault="001936C4" w:rsidP="00113843">
      <w:pPr>
        <w:autoSpaceDE w:val="0"/>
        <w:autoSpaceDN w:val="0"/>
        <w:adjustRightInd w:val="0"/>
        <w:spacing w:after="0" w:line="240" w:lineRule="auto"/>
        <w:rPr>
          <w:rFonts w:cs="Times New Roman"/>
          <w:color w:val="000000"/>
        </w:rPr>
      </w:pPr>
    </w:p>
    <w:p w:rsidR="00113843" w:rsidRPr="007C7404" w:rsidRDefault="00113843" w:rsidP="007C7404">
      <w:pPr>
        <w:pStyle w:val="ListParagraph"/>
        <w:numPr>
          <w:ilvl w:val="0"/>
          <w:numId w:val="3"/>
        </w:numPr>
        <w:autoSpaceDE w:val="0"/>
        <w:autoSpaceDN w:val="0"/>
        <w:adjustRightInd w:val="0"/>
        <w:spacing w:after="0" w:line="240" w:lineRule="auto"/>
        <w:rPr>
          <w:rFonts w:cs="Times New Roman"/>
          <w:color w:val="000000"/>
        </w:rPr>
      </w:pPr>
      <w:r w:rsidRPr="001936C4">
        <w:rPr>
          <w:rFonts w:cs="Times New Roman"/>
          <w:color w:val="000000"/>
        </w:rPr>
        <w:t>The employee is not earning a self-sufficient wage or wages comparable to or higher than wages from previous employment</w:t>
      </w:r>
      <w:r w:rsidR="007C7404">
        <w:rPr>
          <w:rFonts w:cs="Times New Roman"/>
          <w:color w:val="000000"/>
        </w:rPr>
        <w:t xml:space="preserve">,; and </w:t>
      </w:r>
      <w:r w:rsidRPr="001936C4">
        <w:rPr>
          <w:rFonts w:cs="Times New Roman"/>
          <w:color w:val="000000"/>
        </w:rPr>
        <w:t xml:space="preserve"> </w:t>
      </w:r>
    </w:p>
    <w:p w:rsidR="00113843" w:rsidRDefault="00113843" w:rsidP="00E866B6">
      <w:pPr>
        <w:pStyle w:val="ListParagraph"/>
        <w:numPr>
          <w:ilvl w:val="0"/>
          <w:numId w:val="3"/>
        </w:numPr>
        <w:autoSpaceDE w:val="0"/>
        <w:autoSpaceDN w:val="0"/>
        <w:adjustRightInd w:val="0"/>
        <w:spacing w:after="0" w:line="240" w:lineRule="auto"/>
        <w:rPr>
          <w:rFonts w:cs="Times New Roman"/>
          <w:color w:val="000000"/>
        </w:rPr>
      </w:pPr>
      <w:r w:rsidRPr="001936C4">
        <w:rPr>
          <w:rFonts w:cs="Times New Roman"/>
          <w:color w:val="000000"/>
        </w:rPr>
        <w:t xml:space="preserve">The OJT relates to the introduction of new technologies, introduction to new production or service procedures, upgrading to new jobs that require additional skills, or workplace literacy. </w:t>
      </w:r>
    </w:p>
    <w:p w:rsidR="009E61E5" w:rsidRDefault="009E61E5" w:rsidP="00B01C86">
      <w:pPr>
        <w:autoSpaceDE w:val="0"/>
        <w:autoSpaceDN w:val="0"/>
        <w:adjustRightInd w:val="0"/>
        <w:spacing w:after="0" w:line="240" w:lineRule="auto"/>
        <w:rPr>
          <w:rFonts w:cs="Times New Roman"/>
          <w:color w:val="000000"/>
        </w:rPr>
      </w:pPr>
    </w:p>
    <w:p w:rsidR="00B01C86" w:rsidRDefault="00B01C86" w:rsidP="00B01C86">
      <w:pPr>
        <w:autoSpaceDE w:val="0"/>
        <w:autoSpaceDN w:val="0"/>
        <w:adjustRightInd w:val="0"/>
        <w:spacing w:after="0" w:line="240" w:lineRule="auto"/>
        <w:rPr>
          <w:rFonts w:cs="Times New Roman"/>
          <w:color w:val="000000"/>
        </w:rPr>
      </w:pPr>
      <w:r>
        <w:rPr>
          <w:rFonts w:cs="Times New Roman"/>
          <w:color w:val="000000"/>
        </w:rPr>
        <w:t xml:space="preserve">The local board has set the criteria for </w:t>
      </w:r>
      <w:r w:rsidR="00432E90">
        <w:rPr>
          <w:rFonts w:cs="Times New Roman"/>
          <w:color w:val="000000"/>
        </w:rPr>
        <w:t>a self-sufficient wage at 20</w:t>
      </w:r>
      <w:r>
        <w:rPr>
          <w:rFonts w:cs="Times New Roman"/>
          <w:color w:val="000000"/>
        </w:rPr>
        <w:t>0% of Federal Poverty Guidelines. An individual in the Greater Nebraska Workforce Development area is considered to not be earning a self-sufficient wage when:</w:t>
      </w:r>
    </w:p>
    <w:p w:rsidR="00B01C86" w:rsidRDefault="00B01C86" w:rsidP="00B01C86">
      <w:pPr>
        <w:autoSpaceDE w:val="0"/>
        <w:autoSpaceDN w:val="0"/>
        <w:adjustRightInd w:val="0"/>
        <w:spacing w:after="0" w:line="240" w:lineRule="auto"/>
        <w:rPr>
          <w:rFonts w:cs="Times New Roman"/>
          <w:color w:val="000000"/>
        </w:rPr>
      </w:pPr>
    </w:p>
    <w:p w:rsidR="00B01C86" w:rsidRDefault="00B01C86" w:rsidP="00B01C86">
      <w:pPr>
        <w:pStyle w:val="ListParagraph"/>
        <w:numPr>
          <w:ilvl w:val="0"/>
          <w:numId w:val="12"/>
        </w:numPr>
        <w:autoSpaceDE w:val="0"/>
        <w:autoSpaceDN w:val="0"/>
        <w:adjustRightInd w:val="0"/>
        <w:spacing w:after="0" w:line="240" w:lineRule="auto"/>
        <w:rPr>
          <w:rFonts w:cs="Times New Roman"/>
          <w:color w:val="000000"/>
        </w:rPr>
      </w:pPr>
      <w:r>
        <w:rPr>
          <w:rFonts w:cs="Times New Roman"/>
          <w:color w:val="000000"/>
        </w:rPr>
        <w:t>The individual’s gro</w:t>
      </w:r>
      <w:r w:rsidR="00432E90">
        <w:rPr>
          <w:rFonts w:cs="Times New Roman"/>
          <w:color w:val="000000"/>
        </w:rPr>
        <w:t>ss earned income is not above 20</w:t>
      </w:r>
      <w:r>
        <w:rPr>
          <w:rFonts w:cs="Times New Roman"/>
          <w:color w:val="000000"/>
        </w:rPr>
        <w:t>0% of the federal poverty guidelines; or</w:t>
      </w:r>
    </w:p>
    <w:p w:rsidR="00B01C86" w:rsidRDefault="00B01C86" w:rsidP="00B01C86">
      <w:pPr>
        <w:pStyle w:val="ListParagraph"/>
        <w:numPr>
          <w:ilvl w:val="0"/>
          <w:numId w:val="12"/>
        </w:numPr>
        <w:autoSpaceDE w:val="0"/>
        <w:autoSpaceDN w:val="0"/>
        <w:adjustRightInd w:val="0"/>
        <w:spacing w:after="0" w:line="240" w:lineRule="auto"/>
        <w:rPr>
          <w:rFonts w:cs="Times New Roman"/>
          <w:color w:val="000000"/>
        </w:rPr>
      </w:pPr>
      <w:r>
        <w:rPr>
          <w:rFonts w:cs="Times New Roman"/>
          <w:color w:val="000000"/>
        </w:rPr>
        <w:t>The individual is a member of a family whose combin</w:t>
      </w:r>
      <w:r w:rsidR="009E61E5">
        <w:rPr>
          <w:rFonts w:cs="Times New Roman"/>
          <w:color w:val="000000"/>
        </w:rPr>
        <w:t>ed gross earned income is not 20</w:t>
      </w:r>
      <w:r>
        <w:rPr>
          <w:rFonts w:cs="Times New Roman"/>
          <w:color w:val="000000"/>
        </w:rPr>
        <w:t xml:space="preserve">0% of the federal poverty guidelines for its actual family size. </w:t>
      </w:r>
    </w:p>
    <w:p w:rsidR="00B01C86" w:rsidRDefault="00B01C86" w:rsidP="00B01C86">
      <w:pPr>
        <w:pStyle w:val="ListParagraph"/>
        <w:autoSpaceDE w:val="0"/>
        <w:autoSpaceDN w:val="0"/>
        <w:adjustRightInd w:val="0"/>
        <w:spacing w:after="0" w:line="240" w:lineRule="auto"/>
        <w:rPr>
          <w:rFonts w:cs="Times New Roman"/>
          <w:color w:val="000000"/>
        </w:rPr>
      </w:pPr>
    </w:p>
    <w:p w:rsidR="00B01C86" w:rsidRPr="00B01C86" w:rsidRDefault="00B01C86" w:rsidP="00B01C86">
      <w:pPr>
        <w:autoSpaceDE w:val="0"/>
        <w:autoSpaceDN w:val="0"/>
        <w:adjustRightInd w:val="0"/>
        <w:spacing w:after="0" w:line="240" w:lineRule="auto"/>
        <w:rPr>
          <w:rFonts w:cs="Times New Roman"/>
          <w:color w:val="000000"/>
        </w:rPr>
      </w:pPr>
      <w:r>
        <w:rPr>
          <w:rFonts w:cs="Times New Roman"/>
          <w:color w:val="000000"/>
        </w:rPr>
        <w:t>The chart in Attachmen</w:t>
      </w:r>
      <w:r w:rsidR="00432E90">
        <w:rPr>
          <w:rFonts w:cs="Times New Roman"/>
          <w:color w:val="000000"/>
        </w:rPr>
        <w:t>t A shows family size and the 20</w:t>
      </w:r>
      <w:r>
        <w:rPr>
          <w:rFonts w:cs="Times New Roman"/>
          <w:color w:val="000000"/>
        </w:rPr>
        <w:t>0% federal poverty guidelines.</w:t>
      </w:r>
    </w:p>
    <w:p w:rsidR="00113843" w:rsidRPr="001936C4" w:rsidRDefault="00113843" w:rsidP="00113843">
      <w:pPr>
        <w:spacing w:after="0" w:line="240" w:lineRule="auto"/>
        <w:rPr>
          <w:rFonts w:cs="Times New Roman"/>
          <w:color w:val="000000"/>
        </w:rPr>
      </w:pPr>
    </w:p>
    <w:p w:rsidR="00113843" w:rsidRPr="001936C4" w:rsidRDefault="0086649A" w:rsidP="00113843">
      <w:pPr>
        <w:spacing w:after="0" w:line="240" w:lineRule="auto"/>
        <w:rPr>
          <w:rFonts w:eastAsia="+mn-ea" w:cs="Times New Roman"/>
          <w:b/>
          <w:bCs/>
          <w:color w:val="BB1F53"/>
          <w:kern w:val="24"/>
        </w:rPr>
      </w:pPr>
      <w:r w:rsidRPr="001936C4">
        <w:rPr>
          <w:rFonts w:eastAsia="+mn-ea" w:cs="Times New Roman"/>
          <w:b/>
          <w:bCs/>
          <w:color w:val="BB1F53"/>
          <w:kern w:val="24"/>
        </w:rPr>
        <w:t xml:space="preserve">Eligible </w:t>
      </w:r>
      <w:r w:rsidR="00200599" w:rsidRPr="001936C4">
        <w:rPr>
          <w:rFonts w:eastAsia="+mn-ea" w:cs="Times New Roman"/>
          <w:b/>
          <w:bCs/>
          <w:color w:val="BB1F53"/>
          <w:kern w:val="24"/>
        </w:rPr>
        <w:t>Employers</w:t>
      </w:r>
    </w:p>
    <w:p w:rsidR="00113843" w:rsidRDefault="00113843" w:rsidP="00113843">
      <w:pPr>
        <w:pStyle w:val="Default"/>
        <w:rPr>
          <w:rFonts w:ascii="Times New Roman" w:hAnsi="Times New Roman" w:cs="Times New Roman"/>
          <w:sz w:val="22"/>
          <w:szCs w:val="22"/>
        </w:rPr>
      </w:pPr>
      <w:r w:rsidRPr="001936C4">
        <w:rPr>
          <w:rFonts w:ascii="Times New Roman" w:hAnsi="Times New Roman" w:cs="Times New Roman"/>
          <w:sz w:val="22"/>
          <w:szCs w:val="22"/>
        </w:rPr>
        <w:t xml:space="preserve">OJT contracts may be entered into with private-for-profit businesses, private non-profit organizations, and public sector employers prior to a participant starting the new job. Employers receiving OJTs are exempt from the Eligible Training Provider List requirements. With successful completion, it is expected the employer will retain the participant after the training period. </w:t>
      </w:r>
    </w:p>
    <w:p w:rsidR="001936C4" w:rsidRPr="001936C4" w:rsidRDefault="001936C4" w:rsidP="00113843">
      <w:pPr>
        <w:pStyle w:val="Default"/>
        <w:rPr>
          <w:rFonts w:ascii="Times New Roman" w:hAnsi="Times New Roman" w:cs="Times New Roman"/>
          <w:sz w:val="22"/>
          <w:szCs w:val="22"/>
        </w:rPr>
      </w:pPr>
    </w:p>
    <w:p w:rsidR="00734745" w:rsidRPr="001936C4" w:rsidRDefault="00734745" w:rsidP="00734745">
      <w:pPr>
        <w:spacing w:after="0" w:line="240" w:lineRule="auto"/>
        <w:rPr>
          <w:rFonts w:eastAsia="+mn-ea" w:cs="Times New Roman"/>
          <w:b/>
          <w:bCs/>
          <w:color w:val="BB1F53"/>
          <w:kern w:val="24"/>
        </w:rPr>
      </w:pPr>
      <w:r>
        <w:rPr>
          <w:rFonts w:eastAsia="+mn-ea" w:cs="Times New Roman"/>
          <w:b/>
          <w:bCs/>
          <w:color w:val="BB1F53"/>
          <w:kern w:val="24"/>
        </w:rPr>
        <w:t>Ine</w:t>
      </w:r>
      <w:r w:rsidRPr="001936C4">
        <w:rPr>
          <w:rFonts w:eastAsia="+mn-ea" w:cs="Times New Roman"/>
          <w:b/>
          <w:bCs/>
          <w:color w:val="BB1F53"/>
          <w:kern w:val="24"/>
        </w:rPr>
        <w:t>ligible Employers</w:t>
      </w:r>
    </w:p>
    <w:p w:rsidR="00113843" w:rsidRDefault="00113843" w:rsidP="00113843">
      <w:pPr>
        <w:pStyle w:val="Default"/>
        <w:rPr>
          <w:rFonts w:ascii="Times New Roman" w:hAnsi="Times New Roman" w:cs="Times New Roman"/>
          <w:sz w:val="22"/>
          <w:szCs w:val="22"/>
        </w:rPr>
      </w:pPr>
      <w:r w:rsidRPr="001936C4">
        <w:rPr>
          <w:rFonts w:ascii="Times New Roman" w:hAnsi="Times New Roman" w:cs="Times New Roman"/>
          <w:sz w:val="22"/>
          <w:szCs w:val="22"/>
        </w:rPr>
        <w:t xml:space="preserve">OJTs must not be entered into with an employer who has received payments </w:t>
      </w:r>
      <w:r w:rsidR="00A51226">
        <w:rPr>
          <w:rFonts w:ascii="Times New Roman" w:hAnsi="Times New Roman" w:cs="Times New Roman"/>
          <w:sz w:val="22"/>
          <w:szCs w:val="22"/>
        </w:rPr>
        <w:t>who has previously</w:t>
      </w:r>
      <w:r w:rsidRPr="001936C4">
        <w:rPr>
          <w:rFonts w:ascii="Times New Roman" w:hAnsi="Times New Roman" w:cs="Times New Roman"/>
          <w:sz w:val="22"/>
          <w:szCs w:val="22"/>
        </w:rPr>
        <w:t xml:space="preserve"> exhibited a pattern of failing to provide participants with continued long-term employment </w:t>
      </w:r>
      <w:r w:rsidR="000D7E34">
        <w:rPr>
          <w:rFonts w:ascii="Times New Roman" w:hAnsi="Times New Roman" w:cs="Times New Roman"/>
          <w:sz w:val="22"/>
          <w:szCs w:val="22"/>
        </w:rPr>
        <w:t>as regular employees with wages, benefits</w:t>
      </w:r>
      <w:r w:rsidR="00734745">
        <w:rPr>
          <w:rFonts w:ascii="Times New Roman" w:hAnsi="Times New Roman" w:cs="Times New Roman"/>
          <w:sz w:val="22"/>
          <w:szCs w:val="22"/>
        </w:rPr>
        <w:t xml:space="preserve"> (including health benefits)</w:t>
      </w:r>
      <w:r w:rsidR="000D7E34">
        <w:rPr>
          <w:rFonts w:ascii="Times New Roman" w:hAnsi="Times New Roman" w:cs="Times New Roman"/>
          <w:sz w:val="22"/>
          <w:szCs w:val="22"/>
        </w:rPr>
        <w:t xml:space="preserve">, </w:t>
      </w:r>
      <w:r w:rsidRPr="001936C4">
        <w:rPr>
          <w:rFonts w:ascii="Times New Roman" w:hAnsi="Times New Roman" w:cs="Times New Roman"/>
          <w:sz w:val="22"/>
          <w:szCs w:val="22"/>
        </w:rPr>
        <w:t xml:space="preserve">and working conditions at the same level and to the same extent as </w:t>
      </w:r>
      <w:r w:rsidR="000D7E34">
        <w:rPr>
          <w:rFonts w:ascii="Times New Roman" w:hAnsi="Times New Roman" w:cs="Times New Roman"/>
          <w:sz w:val="22"/>
          <w:szCs w:val="22"/>
        </w:rPr>
        <w:t>similarly situation employees</w:t>
      </w:r>
      <w:r w:rsidRPr="001936C4">
        <w:rPr>
          <w:rFonts w:ascii="Times New Roman" w:hAnsi="Times New Roman" w:cs="Times New Roman"/>
          <w:sz w:val="22"/>
          <w:szCs w:val="22"/>
        </w:rPr>
        <w:t>.</w:t>
      </w:r>
      <w:r w:rsidR="000D7E34">
        <w:rPr>
          <w:rFonts w:ascii="Times New Roman" w:hAnsi="Times New Roman" w:cs="Times New Roman"/>
          <w:sz w:val="22"/>
          <w:szCs w:val="22"/>
        </w:rPr>
        <w:t xml:space="preserve">  </w:t>
      </w:r>
    </w:p>
    <w:p w:rsidR="00734745" w:rsidRDefault="00734745" w:rsidP="00113843">
      <w:pPr>
        <w:pStyle w:val="Default"/>
        <w:rPr>
          <w:rFonts w:ascii="Times New Roman" w:hAnsi="Times New Roman" w:cs="Times New Roman"/>
          <w:sz w:val="22"/>
          <w:szCs w:val="22"/>
        </w:rPr>
      </w:pPr>
    </w:p>
    <w:p w:rsidR="00734745" w:rsidRDefault="00734745" w:rsidP="00113843">
      <w:pPr>
        <w:pStyle w:val="Default"/>
        <w:rPr>
          <w:rFonts w:ascii="Times New Roman" w:hAnsi="Times New Roman" w:cs="Times New Roman"/>
          <w:sz w:val="22"/>
          <w:szCs w:val="22"/>
        </w:rPr>
      </w:pPr>
      <w:r>
        <w:rPr>
          <w:rFonts w:ascii="Times New Roman" w:hAnsi="Times New Roman" w:cs="Times New Roman"/>
          <w:sz w:val="22"/>
          <w:szCs w:val="22"/>
        </w:rPr>
        <w:t xml:space="preserve">OJTs may not be written with an employer whose business or any part of its business has relocated and employees at the employer’s other location(s) were laid off as a result of the relocation until the employer has been in operation at its current location at least 120 calendar days. </w:t>
      </w:r>
    </w:p>
    <w:p w:rsidR="00A51226" w:rsidRDefault="00A51226" w:rsidP="00113843">
      <w:pPr>
        <w:pStyle w:val="Default"/>
        <w:rPr>
          <w:rFonts w:ascii="Times New Roman" w:hAnsi="Times New Roman" w:cs="Times New Roman"/>
          <w:sz w:val="22"/>
          <w:szCs w:val="22"/>
        </w:rPr>
      </w:pPr>
    </w:p>
    <w:p w:rsidR="00A51226" w:rsidRPr="001936C4" w:rsidRDefault="00A51226" w:rsidP="00113843">
      <w:pPr>
        <w:pStyle w:val="Default"/>
        <w:rPr>
          <w:rFonts w:ascii="Times New Roman" w:hAnsi="Times New Roman" w:cs="Times New Roman"/>
          <w:sz w:val="22"/>
          <w:szCs w:val="22"/>
        </w:rPr>
      </w:pPr>
      <w:r>
        <w:rPr>
          <w:rFonts w:ascii="Times New Roman" w:hAnsi="Times New Roman" w:cs="Times New Roman"/>
          <w:sz w:val="22"/>
          <w:szCs w:val="22"/>
        </w:rPr>
        <w:t>OJTs may not be written with temporary staffing agencies or employee-leasing firms for positions that will be “hired out” to other employers for probationary seasonal, temporary or intermittent employment. The only exception is when the OJT position is with the staffing agency itself and not a position that will be “hired out.”</w:t>
      </w:r>
    </w:p>
    <w:p w:rsidR="00113843" w:rsidRPr="001936C4" w:rsidRDefault="00113843" w:rsidP="00113843">
      <w:pPr>
        <w:pStyle w:val="Default"/>
        <w:rPr>
          <w:rFonts w:ascii="Times New Roman" w:hAnsi="Times New Roman" w:cs="Times New Roman"/>
          <w:sz w:val="22"/>
          <w:szCs w:val="22"/>
        </w:rPr>
      </w:pPr>
    </w:p>
    <w:p w:rsidR="00113843" w:rsidRPr="001936C4" w:rsidRDefault="00113843" w:rsidP="00113843">
      <w:pPr>
        <w:pStyle w:val="Default"/>
        <w:rPr>
          <w:rFonts w:ascii="Times New Roman" w:hAnsi="Times New Roman" w:cs="Times New Roman"/>
          <w:color w:val="BB1F53"/>
          <w:sz w:val="22"/>
          <w:szCs w:val="22"/>
        </w:rPr>
      </w:pPr>
      <w:r w:rsidRPr="001936C4">
        <w:rPr>
          <w:rFonts w:ascii="Times New Roman" w:hAnsi="Times New Roman" w:cs="Times New Roman"/>
          <w:b/>
          <w:bCs/>
          <w:iCs/>
          <w:color w:val="BB1F53"/>
          <w:sz w:val="22"/>
          <w:szCs w:val="22"/>
        </w:rPr>
        <w:t xml:space="preserve">Registered Apprenticeships </w:t>
      </w:r>
    </w:p>
    <w:p w:rsidR="00A70C62" w:rsidRDefault="00113843" w:rsidP="00113843">
      <w:pPr>
        <w:spacing w:after="0" w:line="240" w:lineRule="auto"/>
        <w:rPr>
          <w:rFonts w:cs="Times New Roman"/>
        </w:rPr>
      </w:pPr>
      <w:r w:rsidRPr="001936C4">
        <w:rPr>
          <w:rFonts w:cs="Times New Roman"/>
        </w:rPr>
        <w:t xml:space="preserve">OJT agreements may be entered into with Registered Apprenticeship </w:t>
      </w:r>
      <w:r w:rsidR="007C7404">
        <w:rPr>
          <w:rFonts w:cs="Times New Roman"/>
        </w:rPr>
        <w:t xml:space="preserve">(RA) </w:t>
      </w:r>
      <w:r w:rsidRPr="001936C4">
        <w:rPr>
          <w:rFonts w:cs="Times New Roman"/>
        </w:rPr>
        <w:t xml:space="preserve">program sponsors or participating employers in Registered Apprenticeship programs </w:t>
      </w:r>
      <w:r w:rsidR="007C7404">
        <w:rPr>
          <w:rFonts w:cs="Times New Roman"/>
        </w:rPr>
        <w:t xml:space="preserve">for the OJT portion of the registered apprenticeship program. </w:t>
      </w:r>
    </w:p>
    <w:p w:rsidR="007C7404" w:rsidRDefault="007C7404" w:rsidP="00113843">
      <w:pPr>
        <w:spacing w:after="0" w:line="240" w:lineRule="auto"/>
        <w:rPr>
          <w:rFonts w:cs="Times New Roman"/>
        </w:rPr>
      </w:pPr>
    </w:p>
    <w:p w:rsidR="007C7404" w:rsidRPr="001936C4" w:rsidRDefault="007C7404" w:rsidP="00113843">
      <w:pPr>
        <w:spacing w:after="0" w:line="240" w:lineRule="auto"/>
        <w:rPr>
          <w:rFonts w:eastAsia="+mn-ea" w:cs="Times New Roman"/>
          <w:bCs/>
          <w:kern w:val="24"/>
        </w:rPr>
      </w:pPr>
      <w:r>
        <w:rPr>
          <w:rFonts w:cs="Times New Roman"/>
        </w:rPr>
        <w:t xml:space="preserve">Depending on the length of the RA, these funds may cover some or all of the RA training. </w:t>
      </w:r>
    </w:p>
    <w:p w:rsidR="00113843" w:rsidRPr="001936C4" w:rsidRDefault="00113843" w:rsidP="00B10132">
      <w:pPr>
        <w:spacing w:after="0" w:line="240" w:lineRule="auto"/>
        <w:rPr>
          <w:rFonts w:eastAsia="+mn-ea" w:cs="Times New Roman"/>
          <w:b/>
          <w:bCs/>
          <w:color w:val="BB1F53"/>
          <w:kern w:val="24"/>
        </w:rPr>
      </w:pPr>
    </w:p>
    <w:p w:rsidR="00113843" w:rsidRPr="001936C4" w:rsidRDefault="00A83999" w:rsidP="00113843">
      <w:pPr>
        <w:spacing w:after="0" w:line="240" w:lineRule="auto"/>
        <w:rPr>
          <w:rFonts w:eastAsia="+mn-ea" w:cs="Times New Roman"/>
          <w:b/>
          <w:bCs/>
          <w:color w:val="BB1F53"/>
          <w:kern w:val="24"/>
        </w:rPr>
      </w:pPr>
      <w:r>
        <w:rPr>
          <w:rFonts w:eastAsia="+mn-ea" w:cs="Times New Roman"/>
          <w:b/>
          <w:bCs/>
          <w:color w:val="BB1F53"/>
          <w:kern w:val="24"/>
        </w:rPr>
        <w:t>Training Requirements</w:t>
      </w:r>
    </w:p>
    <w:p w:rsidR="00906915" w:rsidRDefault="00A83999" w:rsidP="009E61E5">
      <w:pPr>
        <w:spacing w:after="0" w:line="240" w:lineRule="auto"/>
        <w:rPr>
          <w:rFonts w:eastAsia="+mn-ea" w:cs="Times New Roman"/>
          <w:bCs/>
          <w:kern w:val="24"/>
        </w:rPr>
      </w:pPr>
      <w:r>
        <w:rPr>
          <w:rFonts w:eastAsia="+mn-ea" w:cs="Times New Roman"/>
          <w:bCs/>
          <w:kern w:val="24"/>
        </w:rPr>
        <w:t>OJTs must be directly linked to an in-demand industry sector or occupation in the local area or planning region, or in another area to which the part</w:t>
      </w:r>
      <w:r w:rsidR="009E61E5">
        <w:rPr>
          <w:rFonts w:eastAsia="+mn-ea" w:cs="Times New Roman"/>
          <w:bCs/>
          <w:kern w:val="24"/>
        </w:rPr>
        <w:t>icipant is willing to relocate.</w:t>
      </w:r>
    </w:p>
    <w:p w:rsidR="009E61E5" w:rsidRPr="001936C4" w:rsidRDefault="009E61E5" w:rsidP="009E61E5">
      <w:pPr>
        <w:spacing w:after="0" w:line="240" w:lineRule="auto"/>
        <w:rPr>
          <w:rFonts w:eastAsia="+mn-ea" w:cs="Times New Roman"/>
          <w:bCs/>
          <w:kern w:val="24"/>
        </w:rPr>
      </w:pPr>
    </w:p>
    <w:p w:rsidR="001936C4" w:rsidRDefault="0029379B" w:rsidP="001936C4">
      <w:pPr>
        <w:spacing w:after="0" w:line="240" w:lineRule="auto"/>
        <w:rPr>
          <w:rFonts w:eastAsia="+mn-ea" w:cs="Times New Roman"/>
          <w:b/>
          <w:bCs/>
          <w:color w:val="BB1F53"/>
          <w:kern w:val="24"/>
        </w:rPr>
      </w:pPr>
      <w:r>
        <w:rPr>
          <w:rFonts w:eastAsia="+mn-ea" w:cs="Times New Roman"/>
          <w:b/>
          <w:bCs/>
          <w:color w:val="BB1F53"/>
          <w:kern w:val="24"/>
        </w:rPr>
        <w:t xml:space="preserve">OJT Payment and Training </w:t>
      </w:r>
      <w:r w:rsidR="0086649A" w:rsidRPr="001936C4">
        <w:rPr>
          <w:rFonts w:eastAsia="+mn-ea" w:cs="Times New Roman"/>
          <w:b/>
          <w:bCs/>
          <w:color w:val="BB1F53"/>
          <w:kern w:val="24"/>
        </w:rPr>
        <w:t xml:space="preserve">Length </w:t>
      </w:r>
    </w:p>
    <w:p w:rsidR="0029379B" w:rsidRDefault="00220195" w:rsidP="001936C4">
      <w:pPr>
        <w:spacing w:after="0" w:line="240" w:lineRule="auto"/>
      </w:pPr>
      <w:r>
        <w:t>OJT payments to employers are deemed to be</w:t>
      </w:r>
      <w:r w:rsidR="0029379B">
        <w:t xml:space="preserve"> compensation for the extraordinary costs </w:t>
      </w:r>
      <w:r>
        <w:t xml:space="preserve">associated with training participants and the costs associated </w:t>
      </w:r>
      <w:r w:rsidR="0029379B">
        <w:t xml:space="preserve">with the lower productivity of such participants. </w:t>
      </w:r>
    </w:p>
    <w:p w:rsidR="0029379B" w:rsidRDefault="0029379B" w:rsidP="001936C4">
      <w:pPr>
        <w:spacing w:after="0" w:line="240" w:lineRule="auto"/>
      </w:pPr>
    </w:p>
    <w:p w:rsidR="00113843" w:rsidRDefault="00113843" w:rsidP="001936C4">
      <w:pPr>
        <w:spacing w:after="0" w:line="240" w:lineRule="auto"/>
        <w:rPr>
          <w:rFonts w:cs="Times New Roman"/>
        </w:rPr>
      </w:pPr>
      <w:r w:rsidRPr="001936C4">
        <w:rPr>
          <w:rFonts w:cs="Times New Roman"/>
        </w:rPr>
        <w:t xml:space="preserve">An OJT contract must be limited to the period of time required for a participant to become proficient in the occupation for which the training is being provided. In determining the appropriate length of the contract, consideration should be given to the skill requirements of the occupation, the academic and occupational skill level of the participant, prior work experience, </w:t>
      </w:r>
      <w:r w:rsidR="001936C4">
        <w:rPr>
          <w:rFonts w:cs="Times New Roman"/>
        </w:rPr>
        <w:t xml:space="preserve">and </w:t>
      </w:r>
      <w:r w:rsidRPr="001936C4">
        <w:rPr>
          <w:rFonts w:cs="Times New Roman"/>
        </w:rPr>
        <w:t>the participant’s individual employme</w:t>
      </w:r>
      <w:r w:rsidR="001936C4">
        <w:rPr>
          <w:rFonts w:cs="Times New Roman"/>
        </w:rPr>
        <w:t>nt plan</w:t>
      </w:r>
      <w:r w:rsidRPr="001936C4">
        <w:rPr>
          <w:rFonts w:cs="Times New Roman"/>
        </w:rPr>
        <w:t>. Actual trai</w:t>
      </w:r>
      <w:r w:rsidR="001936C4">
        <w:rPr>
          <w:rFonts w:cs="Times New Roman"/>
        </w:rPr>
        <w:t>ning hours will be determined by the OJT Length Determination Form</w:t>
      </w:r>
      <w:r w:rsidRPr="001936C4">
        <w:rPr>
          <w:rFonts w:cs="Times New Roman"/>
        </w:rPr>
        <w:t xml:space="preserve">. </w:t>
      </w:r>
    </w:p>
    <w:p w:rsidR="001936C4" w:rsidRDefault="001936C4" w:rsidP="001936C4">
      <w:pPr>
        <w:spacing w:after="0" w:line="240" w:lineRule="auto"/>
        <w:rPr>
          <w:rFonts w:cs="Times New Roman"/>
        </w:rPr>
      </w:pPr>
    </w:p>
    <w:p w:rsidR="0029379B" w:rsidRDefault="0029379B" w:rsidP="0029379B">
      <w:pPr>
        <w:pStyle w:val="Default"/>
        <w:rPr>
          <w:rFonts w:ascii="Times New Roman" w:hAnsi="Times New Roman" w:cs="Times New Roman"/>
          <w:b/>
          <w:iCs/>
          <w:color w:val="00607F"/>
          <w:sz w:val="22"/>
          <w:szCs w:val="22"/>
        </w:rPr>
      </w:pPr>
      <w:r w:rsidRPr="0029379B">
        <w:rPr>
          <w:rFonts w:ascii="Times New Roman" w:hAnsi="Times New Roman" w:cs="Times New Roman"/>
          <w:b/>
          <w:iCs/>
          <w:color w:val="00607F"/>
          <w:sz w:val="22"/>
          <w:szCs w:val="22"/>
        </w:rPr>
        <w:t>Payme</w:t>
      </w:r>
      <w:r>
        <w:rPr>
          <w:rFonts w:ascii="Times New Roman" w:hAnsi="Times New Roman" w:cs="Times New Roman"/>
          <w:b/>
          <w:iCs/>
          <w:color w:val="00607F"/>
          <w:sz w:val="22"/>
          <w:szCs w:val="22"/>
        </w:rPr>
        <w:t>nt rate and rate considerations</w:t>
      </w:r>
    </w:p>
    <w:p w:rsidR="00106339" w:rsidRDefault="0029379B" w:rsidP="0029379B">
      <w:pPr>
        <w:pStyle w:val="Default"/>
        <w:rPr>
          <w:rFonts w:ascii="Times New Roman" w:hAnsi="Times New Roman" w:cs="Times New Roman"/>
          <w:sz w:val="22"/>
          <w:szCs w:val="22"/>
        </w:rPr>
      </w:pPr>
      <w:r w:rsidRPr="0029379B">
        <w:rPr>
          <w:rFonts w:ascii="Times New Roman" w:hAnsi="Times New Roman" w:cs="Times New Roman"/>
          <w:sz w:val="22"/>
          <w:szCs w:val="22"/>
        </w:rPr>
        <w:t xml:space="preserve">The appropriate payment by WIOA Title I is 50 percent of the wages paid by the employer to the participant during the period of the training agreement. </w:t>
      </w:r>
    </w:p>
    <w:p w:rsidR="009E61E5" w:rsidRDefault="009E61E5" w:rsidP="00113843">
      <w:pPr>
        <w:pStyle w:val="Default"/>
        <w:rPr>
          <w:rFonts w:ascii="Times New Roman" w:eastAsia="+mn-ea" w:hAnsi="Times New Roman" w:cs="Times New Roman"/>
          <w:b/>
          <w:bCs/>
          <w:color w:val="BB1F53"/>
          <w:kern w:val="24"/>
          <w:sz w:val="22"/>
          <w:szCs w:val="22"/>
        </w:rPr>
      </w:pPr>
    </w:p>
    <w:p w:rsidR="00881216" w:rsidRDefault="00E44C9E" w:rsidP="00113843">
      <w:pPr>
        <w:pStyle w:val="Default"/>
        <w:rPr>
          <w:rFonts w:ascii="Times New Roman" w:hAnsi="Times New Roman" w:cs="Times New Roman"/>
          <w:sz w:val="22"/>
          <w:szCs w:val="22"/>
        </w:rPr>
      </w:pPr>
      <w:r>
        <w:rPr>
          <w:rFonts w:ascii="Times New Roman" w:eastAsia="+mn-ea" w:hAnsi="Times New Roman" w:cs="Times New Roman"/>
          <w:b/>
          <w:bCs/>
          <w:color w:val="BB1F53"/>
          <w:kern w:val="24"/>
          <w:sz w:val="22"/>
          <w:szCs w:val="22"/>
        </w:rPr>
        <w:t>Wages and Benefits</w:t>
      </w:r>
      <w:r w:rsidR="00113843" w:rsidRPr="001936C4">
        <w:rPr>
          <w:rFonts w:ascii="Times New Roman" w:hAnsi="Times New Roman" w:cs="Times New Roman"/>
          <w:sz w:val="22"/>
          <w:szCs w:val="22"/>
        </w:rPr>
        <w:t xml:space="preserve"> </w:t>
      </w:r>
    </w:p>
    <w:p w:rsidR="00E44C9E" w:rsidRDefault="00E44C9E" w:rsidP="00113843">
      <w:pPr>
        <w:pStyle w:val="Default"/>
        <w:rPr>
          <w:rFonts w:ascii="Times New Roman" w:hAnsi="Times New Roman" w:cs="Times New Roman"/>
          <w:sz w:val="22"/>
          <w:szCs w:val="22"/>
        </w:rPr>
      </w:pPr>
      <w:r>
        <w:rPr>
          <w:rFonts w:ascii="Times New Roman" w:hAnsi="Times New Roman" w:cs="Times New Roman"/>
          <w:sz w:val="22"/>
          <w:szCs w:val="22"/>
        </w:rPr>
        <w:lastRenderedPageBreak/>
        <w:t xml:space="preserve">Since </w:t>
      </w:r>
      <w:r w:rsidR="00310155">
        <w:rPr>
          <w:rFonts w:ascii="Times New Roman" w:hAnsi="Times New Roman" w:cs="Times New Roman"/>
          <w:sz w:val="22"/>
          <w:szCs w:val="22"/>
        </w:rPr>
        <w:t xml:space="preserve">an </w:t>
      </w:r>
      <w:r>
        <w:rPr>
          <w:rFonts w:ascii="Times New Roman" w:hAnsi="Times New Roman" w:cs="Times New Roman"/>
          <w:sz w:val="22"/>
          <w:szCs w:val="22"/>
        </w:rPr>
        <w:t>OJT is employment, state and federal regulations governi</w:t>
      </w:r>
      <w:r w:rsidR="00A51226">
        <w:rPr>
          <w:rFonts w:ascii="Times New Roman" w:hAnsi="Times New Roman" w:cs="Times New Roman"/>
          <w:sz w:val="22"/>
          <w:szCs w:val="22"/>
        </w:rPr>
        <w:t>ng employment situations apply.</w:t>
      </w:r>
      <w:r w:rsidR="0029379B" w:rsidRPr="0029379B">
        <w:rPr>
          <w:rFonts w:ascii="Times New Roman" w:hAnsi="Times New Roman" w:cs="Times New Roman"/>
          <w:sz w:val="22"/>
          <w:szCs w:val="22"/>
        </w:rPr>
        <w:t xml:space="preserve"> </w:t>
      </w:r>
      <w:r w:rsidR="0029379B" w:rsidRPr="001936C4">
        <w:rPr>
          <w:rFonts w:ascii="Times New Roman" w:hAnsi="Times New Roman" w:cs="Times New Roman"/>
          <w:sz w:val="22"/>
          <w:szCs w:val="22"/>
        </w:rPr>
        <w:t>The OJT trainee is an employee of the approved OJT employer. The employer is responsible for payment of wage</w:t>
      </w:r>
      <w:r w:rsidR="0029379B">
        <w:rPr>
          <w:rFonts w:ascii="Times New Roman" w:hAnsi="Times New Roman" w:cs="Times New Roman"/>
          <w:sz w:val="22"/>
          <w:szCs w:val="22"/>
        </w:rPr>
        <w:t>s and benefits to the trainee</w:t>
      </w:r>
      <w:r w:rsidR="00310155">
        <w:rPr>
          <w:rFonts w:ascii="Times New Roman" w:hAnsi="Times New Roman" w:cs="Times New Roman"/>
          <w:sz w:val="22"/>
          <w:szCs w:val="22"/>
        </w:rPr>
        <w:t>.</w:t>
      </w:r>
    </w:p>
    <w:p w:rsidR="00A51226" w:rsidRDefault="00A51226" w:rsidP="00113843">
      <w:pPr>
        <w:pStyle w:val="Default"/>
        <w:rPr>
          <w:rFonts w:ascii="Times New Roman" w:hAnsi="Times New Roman" w:cs="Times New Roman"/>
          <w:sz w:val="22"/>
          <w:szCs w:val="22"/>
        </w:rPr>
      </w:pPr>
    </w:p>
    <w:p w:rsidR="00A51226" w:rsidRDefault="00A51226" w:rsidP="00A51226">
      <w:pPr>
        <w:pStyle w:val="Default"/>
        <w:rPr>
          <w:rFonts w:ascii="Times New Roman" w:hAnsi="Times New Roman" w:cs="Times New Roman"/>
          <w:sz w:val="22"/>
          <w:szCs w:val="22"/>
        </w:rPr>
      </w:pPr>
      <w:r w:rsidRPr="00A51226">
        <w:rPr>
          <w:rFonts w:ascii="Times New Roman" w:hAnsi="Times New Roman" w:cs="Times New Roman"/>
          <w:sz w:val="22"/>
          <w:szCs w:val="22"/>
        </w:rPr>
        <w:t xml:space="preserve">Participants in an OJT must be: </w:t>
      </w:r>
    </w:p>
    <w:p w:rsidR="0029379B" w:rsidRDefault="0029379B" w:rsidP="00A51226">
      <w:pPr>
        <w:pStyle w:val="Default"/>
        <w:rPr>
          <w:rFonts w:ascii="Times New Roman" w:hAnsi="Times New Roman" w:cs="Times New Roman"/>
          <w:sz w:val="22"/>
          <w:szCs w:val="22"/>
        </w:rPr>
      </w:pPr>
    </w:p>
    <w:p w:rsidR="00A51226" w:rsidRPr="00A51226" w:rsidRDefault="00A51226" w:rsidP="00A51226">
      <w:pPr>
        <w:pStyle w:val="Default"/>
        <w:numPr>
          <w:ilvl w:val="0"/>
          <w:numId w:val="5"/>
        </w:numPr>
        <w:rPr>
          <w:rFonts w:ascii="Times New Roman" w:hAnsi="Times New Roman" w:cs="Times New Roman"/>
          <w:sz w:val="22"/>
          <w:szCs w:val="22"/>
        </w:rPr>
      </w:pPr>
      <w:r>
        <w:rPr>
          <w:rFonts w:ascii="Times New Roman" w:hAnsi="Times New Roman" w:cs="Times New Roman"/>
          <w:sz w:val="22"/>
          <w:szCs w:val="22"/>
        </w:rPr>
        <w:t>compensated at the same rates, including periodic increases, as trainees or employees who are situated in similar occupations by the same employer</w:t>
      </w:r>
      <w:r w:rsidR="000A441A">
        <w:rPr>
          <w:rFonts w:ascii="Times New Roman" w:hAnsi="Times New Roman" w:cs="Times New Roman"/>
          <w:sz w:val="22"/>
          <w:szCs w:val="22"/>
        </w:rPr>
        <w:t xml:space="preserve"> and have similar training, experience, and skills</w:t>
      </w:r>
      <w:r w:rsidR="00531B7A">
        <w:rPr>
          <w:rFonts w:ascii="Times New Roman" w:hAnsi="Times New Roman" w:cs="Times New Roman"/>
          <w:sz w:val="22"/>
          <w:szCs w:val="22"/>
        </w:rPr>
        <w:t>; and</w:t>
      </w:r>
    </w:p>
    <w:p w:rsidR="001936C4" w:rsidRDefault="00A51226" w:rsidP="00BB1090">
      <w:pPr>
        <w:pStyle w:val="Default"/>
        <w:numPr>
          <w:ilvl w:val="0"/>
          <w:numId w:val="5"/>
        </w:numPr>
        <w:rPr>
          <w:rFonts w:ascii="Times New Roman" w:hAnsi="Times New Roman" w:cs="Times New Roman"/>
          <w:sz w:val="22"/>
          <w:szCs w:val="22"/>
        </w:rPr>
      </w:pPr>
      <w:r w:rsidRPr="00A51226">
        <w:rPr>
          <w:rFonts w:ascii="Times New Roman" w:hAnsi="Times New Roman" w:cs="Times New Roman"/>
          <w:sz w:val="22"/>
          <w:szCs w:val="22"/>
        </w:rPr>
        <w:t>Provided benefits and working conditions at the same level and to the same extent as other trainees or employees working a similar length of time</w:t>
      </w:r>
      <w:r w:rsidR="00531B7A">
        <w:rPr>
          <w:rFonts w:ascii="Times New Roman" w:hAnsi="Times New Roman" w:cs="Times New Roman"/>
          <w:sz w:val="22"/>
          <w:szCs w:val="22"/>
        </w:rPr>
        <w:t xml:space="preserve"> </w:t>
      </w:r>
      <w:r w:rsidR="00BB1090">
        <w:rPr>
          <w:rFonts w:ascii="Times New Roman" w:hAnsi="Times New Roman" w:cs="Times New Roman"/>
          <w:sz w:val="22"/>
          <w:szCs w:val="22"/>
        </w:rPr>
        <w:t xml:space="preserve">and doing the same type of job. </w:t>
      </w:r>
    </w:p>
    <w:p w:rsidR="00BB1090" w:rsidRPr="001936C4" w:rsidRDefault="00BB1090" w:rsidP="00BB1090">
      <w:pPr>
        <w:pStyle w:val="Default"/>
        <w:ind w:left="720"/>
        <w:rPr>
          <w:rFonts w:ascii="Times New Roman" w:hAnsi="Times New Roman" w:cs="Times New Roman"/>
          <w:sz w:val="22"/>
          <w:szCs w:val="22"/>
        </w:rPr>
      </w:pPr>
    </w:p>
    <w:p w:rsidR="00113843" w:rsidRDefault="00113843" w:rsidP="00113843">
      <w:pPr>
        <w:pStyle w:val="Default"/>
        <w:rPr>
          <w:rFonts w:ascii="Times New Roman" w:hAnsi="Times New Roman" w:cs="Times New Roman"/>
          <w:sz w:val="22"/>
          <w:szCs w:val="22"/>
        </w:rPr>
      </w:pPr>
      <w:r w:rsidRPr="001936C4">
        <w:rPr>
          <w:rFonts w:ascii="Times New Roman" w:hAnsi="Times New Roman" w:cs="Times New Roman"/>
          <w:sz w:val="22"/>
          <w:szCs w:val="22"/>
        </w:rPr>
        <w:t xml:space="preserve">WIOA funds are not to be utilized for holidays, sick leave, vacation or overtime hours. Employers will be expected to compensate the trainee for such hours equal to other similarly situated employees and in accordance to state and federal labor law for any overtime hours worked. </w:t>
      </w:r>
    </w:p>
    <w:p w:rsidR="00113843" w:rsidRPr="001936C4" w:rsidRDefault="00113843" w:rsidP="00113843">
      <w:pPr>
        <w:spacing w:after="0" w:line="240" w:lineRule="auto"/>
        <w:rPr>
          <w:rFonts w:cs="Times New Roman"/>
        </w:rPr>
      </w:pPr>
    </w:p>
    <w:p w:rsidR="00113843" w:rsidRPr="001936C4" w:rsidRDefault="00113843" w:rsidP="00113843">
      <w:pPr>
        <w:autoSpaceDE w:val="0"/>
        <w:autoSpaceDN w:val="0"/>
        <w:adjustRightInd w:val="0"/>
        <w:spacing w:after="0" w:line="240" w:lineRule="auto"/>
        <w:rPr>
          <w:rFonts w:cs="Times New Roman"/>
          <w:color w:val="00607F"/>
        </w:rPr>
      </w:pPr>
      <w:r w:rsidRPr="001936C4">
        <w:rPr>
          <w:rFonts w:cs="Times New Roman"/>
          <w:color w:val="00607F"/>
        </w:rPr>
        <w:t>Wage Rate Calculations:</w:t>
      </w:r>
    </w:p>
    <w:p w:rsidR="001936C4" w:rsidRPr="00113843" w:rsidRDefault="001936C4" w:rsidP="00113843">
      <w:pPr>
        <w:autoSpaceDE w:val="0"/>
        <w:autoSpaceDN w:val="0"/>
        <w:adjustRightInd w:val="0"/>
        <w:spacing w:after="0" w:line="240" w:lineRule="auto"/>
        <w:rPr>
          <w:rFonts w:cs="Times New Roman"/>
          <w:color w:val="000000"/>
        </w:rPr>
      </w:pPr>
    </w:p>
    <w:p w:rsidR="001623C7" w:rsidRDefault="00113843" w:rsidP="00E866B6">
      <w:pPr>
        <w:pStyle w:val="ListParagraph"/>
        <w:numPr>
          <w:ilvl w:val="0"/>
          <w:numId w:val="4"/>
        </w:numPr>
        <w:autoSpaceDE w:val="0"/>
        <w:autoSpaceDN w:val="0"/>
        <w:adjustRightInd w:val="0"/>
        <w:spacing w:after="0" w:line="240" w:lineRule="auto"/>
        <w:rPr>
          <w:rFonts w:cs="Times New Roman"/>
          <w:color w:val="000000"/>
        </w:rPr>
      </w:pPr>
      <w:r w:rsidRPr="001936C4">
        <w:rPr>
          <w:rFonts w:cs="Times New Roman"/>
          <w:color w:val="000000"/>
        </w:rPr>
        <w:t xml:space="preserve">In cases where the OJT is for a salaried position, an hourly rate of pay should be calculated for reimbursement purposes by taking the gross monthly salary, multiplied by 12 then divided by 2080 hours (e.g. $2,600 x 12 = $31,200/2080 = $15). </w:t>
      </w:r>
    </w:p>
    <w:p w:rsidR="00113843" w:rsidRPr="001936C4" w:rsidRDefault="00113843" w:rsidP="00E866B6">
      <w:pPr>
        <w:pStyle w:val="ListParagraph"/>
        <w:numPr>
          <w:ilvl w:val="1"/>
          <w:numId w:val="4"/>
        </w:numPr>
        <w:autoSpaceDE w:val="0"/>
        <w:autoSpaceDN w:val="0"/>
        <w:adjustRightInd w:val="0"/>
        <w:spacing w:after="0" w:line="240" w:lineRule="auto"/>
        <w:rPr>
          <w:rFonts w:cs="Times New Roman"/>
          <w:color w:val="000000"/>
        </w:rPr>
      </w:pPr>
      <w:r w:rsidRPr="001936C4">
        <w:rPr>
          <w:rFonts w:cs="Times New Roman"/>
          <w:b/>
          <w:bCs/>
          <w:i/>
          <w:iCs/>
          <w:color w:val="000000"/>
        </w:rPr>
        <w:t xml:space="preserve">NOTE: </w:t>
      </w:r>
      <w:r w:rsidRPr="001623C7">
        <w:rPr>
          <w:rFonts w:cs="Times New Roman"/>
          <w:iCs/>
          <w:color w:val="000000"/>
        </w:rPr>
        <w:t>With salaried positions, be sure that paid time off (i.e. vacation, sick, holiday, PTO) is not reimbursed</w:t>
      </w:r>
      <w:r w:rsidRPr="001936C4">
        <w:rPr>
          <w:rFonts w:cs="Times New Roman"/>
          <w:i/>
          <w:iCs/>
          <w:color w:val="000000"/>
        </w:rPr>
        <w:t xml:space="preserve">. </w:t>
      </w:r>
    </w:p>
    <w:p w:rsidR="00113843" w:rsidRPr="001936C4" w:rsidRDefault="00113843" w:rsidP="00E866B6">
      <w:pPr>
        <w:pStyle w:val="ListParagraph"/>
        <w:numPr>
          <w:ilvl w:val="0"/>
          <w:numId w:val="4"/>
        </w:numPr>
        <w:autoSpaceDE w:val="0"/>
        <w:autoSpaceDN w:val="0"/>
        <w:adjustRightInd w:val="0"/>
        <w:spacing w:after="0" w:line="240" w:lineRule="auto"/>
        <w:rPr>
          <w:rFonts w:cs="Times New Roman"/>
          <w:color w:val="000000"/>
        </w:rPr>
      </w:pPr>
      <w:r w:rsidRPr="001936C4">
        <w:rPr>
          <w:rFonts w:cs="Times New Roman"/>
          <w:color w:val="000000"/>
        </w:rPr>
        <w:t xml:space="preserve">In cases where the trainee may receive two different rates of pay (e.g. regular rate and shift differential for evening/weekend hours), use the higher wage rate for the total duration to calculate the amount. Extra funds will be de-obligated at the end of the OJT. </w:t>
      </w:r>
    </w:p>
    <w:p w:rsidR="00113843" w:rsidRDefault="00113843" w:rsidP="00113843">
      <w:pPr>
        <w:spacing w:after="0" w:line="240" w:lineRule="auto"/>
        <w:rPr>
          <w:rFonts w:cs="Times New Roman"/>
        </w:rPr>
      </w:pPr>
      <w:r w:rsidRPr="001936C4">
        <w:rPr>
          <w:rFonts w:cs="Times New Roman"/>
        </w:rPr>
        <w:t xml:space="preserve"> </w:t>
      </w:r>
    </w:p>
    <w:p w:rsidR="00531B7A" w:rsidRDefault="00531B7A" w:rsidP="00531B7A">
      <w:pPr>
        <w:pStyle w:val="Default"/>
        <w:rPr>
          <w:rFonts w:ascii="Times New Roman" w:eastAsia="+mn-ea" w:hAnsi="Times New Roman" w:cs="Times New Roman"/>
          <w:b/>
          <w:bCs/>
          <w:color w:val="BB1F53"/>
          <w:kern w:val="24"/>
          <w:sz w:val="22"/>
          <w:szCs w:val="22"/>
        </w:rPr>
      </w:pPr>
      <w:r>
        <w:rPr>
          <w:rFonts w:ascii="Times New Roman" w:eastAsia="+mn-ea" w:hAnsi="Times New Roman" w:cs="Times New Roman"/>
          <w:b/>
          <w:bCs/>
          <w:color w:val="BB1F53"/>
          <w:kern w:val="24"/>
          <w:sz w:val="22"/>
          <w:szCs w:val="22"/>
        </w:rPr>
        <w:t>OJT Pre-award</w:t>
      </w:r>
    </w:p>
    <w:p w:rsidR="00531B7A" w:rsidRPr="00531B7A" w:rsidRDefault="00531B7A" w:rsidP="00531B7A">
      <w:pPr>
        <w:pStyle w:val="Default"/>
        <w:rPr>
          <w:rFonts w:ascii="Times New Roman" w:eastAsia="+mn-ea" w:hAnsi="Times New Roman" w:cs="Times New Roman"/>
          <w:bCs/>
          <w:color w:val="auto"/>
          <w:kern w:val="24"/>
          <w:sz w:val="22"/>
          <w:szCs w:val="22"/>
        </w:rPr>
      </w:pPr>
      <w:r>
        <w:rPr>
          <w:rFonts w:ascii="Times New Roman" w:eastAsia="+mn-ea" w:hAnsi="Times New Roman" w:cs="Times New Roman"/>
          <w:bCs/>
          <w:color w:val="auto"/>
          <w:kern w:val="24"/>
          <w:sz w:val="22"/>
          <w:szCs w:val="22"/>
        </w:rPr>
        <w:t>Prior to entering into an OJT contract with an employer, a pre-award must be completed by the employer and reviewed and signed off by the Career Planner and Regional Manager.</w:t>
      </w:r>
    </w:p>
    <w:p w:rsidR="0029379B" w:rsidRDefault="0029379B" w:rsidP="00113843">
      <w:pPr>
        <w:spacing w:after="0" w:line="240" w:lineRule="auto"/>
        <w:rPr>
          <w:rFonts w:cs="Times New Roman"/>
        </w:rPr>
      </w:pPr>
    </w:p>
    <w:p w:rsidR="0029379B" w:rsidRPr="001936C4" w:rsidRDefault="00531B7A" w:rsidP="0029379B">
      <w:pPr>
        <w:pStyle w:val="Default"/>
        <w:rPr>
          <w:rFonts w:ascii="Times New Roman" w:hAnsi="Times New Roman" w:cs="Times New Roman"/>
          <w:sz w:val="22"/>
          <w:szCs w:val="22"/>
        </w:rPr>
      </w:pPr>
      <w:r>
        <w:rPr>
          <w:rFonts w:ascii="Times New Roman" w:eastAsia="+mn-ea" w:hAnsi="Times New Roman" w:cs="Times New Roman"/>
          <w:b/>
          <w:bCs/>
          <w:color w:val="BB1F53"/>
          <w:kern w:val="24"/>
          <w:sz w:val="22"/>
          <w:szCs w:val="22"/>
        </w:rPr>
        <w:t>OJT Contract</w:t>
      </w:r>
    </w:p>
    <w:p w:rsidR="001936C4" w:rsidRDefault="0029379B" w:rsidP="0029379B">
      <w:pPr>
        <w:spacing w:after="0" w:line="240" w:lineRule="auto"/>
      </w:pPr>
      <w:r>
        <w:t>An OJT contract with an employer can be written for a maximum of 1040 hours. Under no circumstances can an OJT contract be written for a participant if the hours of training required for the position in which the participant is to be trained is determined to be less than 160 hours.</w:t>
      </w:r>
    </w:p>
    <w:p w:rsidR="0029379B" w:rsidRPr="0086649A" w:rsidRDefault="0029379B" w:rsidP="0029379B">
      <w:pPr>
        <w:spacing w:after="0" w:line="240" w:lineRule="auto"/>
        <w:rPr>
          <w:rFonts w:eastAsia="+mn-ea" w:cs="Times New Roman"/>
          <w:bCs/>
          <w:kern w:val="24"/>
          <w:sz w:val="24"/>
          <w:szCs w:val="24"/>
        </w:rPr>
      </w:pPr>
    </w:p>
    <w:p w:rsidR="0029379B" w:rsidRDefault="0029379B" w:rsidP="0029379B">
      <w:pPr>
        <w:spacing w:after="0" w:line="240" w:lineRule="auto"/>
      </w:pPr>
      <w:r>
        <w:t xml:space="preserve">The number of OJT training hours for a participant must be determined using the following </w:t>
      </w:r>
      <w:r w:rsidR="00310155">
        <w:t>Specific vocational Preparation (SVP)</w:t>
      </w:r>
      <w:r>
        <w:t xml:space="preserve"> chart</w:t>
      </w:r>
      <w:r w:rsidR="00152304">
        <w:t xml:space="preserve">. </w:t>
      </w:r>
      <w:r>
        <w:t>The hours specified m</w:t>
      </w:r>
      <w:r w:rsidR="00310155">
        <w:t>ust be considered as a starting</w:t>
      </w:r>
      <w:r>
        <w:t xml:space="preserve"> point for determining actual training hours. If the total number of training hours needed to successfully train a participant for the OJT position cannot be provided during the maximum contract length allowable, as many training hours as possible must be provided.</w:t>
      </w:r>
    </w:p>
    <w:p w:rsidR="00310155" w:rsidRDefault="00310155" w:rsidP="0029379B">
      <w:pPr>
        <w:spacing w:after="0" w:line="240" w:lineRule="auto"/>
      </w:pPr>
    </w:p>
    <w:p w:rsidR="007C7404" w:rsidRPr="007C7404" w:rsidRDefault="007C7404" w:rsidP="0029379B">
      <w:pPr>
        <w:spacing w:after="0" w:line="240" w:lineRule="auto"/>
        <w:rPr>
          <w:rFonts w:cs="Times New Roman"/>
        </w:rPr>
      </w:pPr>
      <w:r>
        <w:rPr>
          <w:rFonts w:cs="Times New Roman"/>
        </w:rPr>
        <w:t xml:space="preserve">Occupation specific SVP codes can be found at onetonline.org. </w:t>
      </w:r>
    </w:p>
    <w:p w:rsidR="0029379B" w:rsidRDefault="0029379B" w:rsidP="0029379B">
      <w:pPr>
        <w:spacing w:after="0" w:line="240" w:lineRule="auto"/>
        <w:rPr>
          <w:rFonts w:eastAsia="+mn-ea" w:cs="Times New Roman"/>
          <w:b/>
          <w:bCs/>
          <w:color w:val="BB1F53"/>
          <w:kern w:val="24"/>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shd w:val="clear" w:color="auto" w:fill="FFFFFF" w:themeFill="background1"/>
        <w:tblLayout w:type="fixed"/>
        <w:tblLook w:val="0000" w:firstRow="0" w:lastRow="0" w:firstColumn="0" w:lastColumn="0" w:noHBand="0" w:noVBand="0"/>
      </w:tblPr>
      <w:tblGrid>
        <w:gridCol w:w="1454"/>
        <w:gridCol w:w="1454"/>
      </w:tblGrid>
      <w:tr w:rsidR="0029379B" w:rsidTr="007C7404">
        <w:trPr>
          <w:trHeight w:val="270"/>
        </w:trPr>
        <w:tc>
          <w:tcPr>
            <w:tcW w:w="1454" w:type="dxa"/>
            <w:shd w:val="clear" w:color="auto" w:fill="FFFFFF" w:themeFill="background1"/>
          </w:tcPr>
          <w:p w:rsidR="0029379B" w:rsidRPr="00310155" w:rsidRDefault="007C7404">
            <w:pPr>
              <w:pStyle w:val="Default"/>
              <w:rPr>
                <w:b/>
                <w:sz w:val="22"/>
                <w:szCs w:val="22"/>
              </w:rPr>
            </w:pPr>
            <w:r w:rsidRPr="00310155">
              <w:rPr>
                <w:b/>
                <w:sz w:val="22"/>
                <w:szCs w:val="22"/>
              </w:rPr>
              <w:t>SVP*</w:t>
            </w:r>
            <w:r w:rsidR="0029379B" w:rsidRPr="00310155">
              <w:rPr>
                <w:b/>
                <w:sz w:val="22"/>
                <w:szCs w:val="22"/>
              </w:rPr>
              <w:t xml:space="preserve">LEVEL </w:t>
            </w:r>
          </w:p>
        </w:tc>
        <w:tc>
          <w:tcPr>
            <w:tcW w:w="1454" w:type="dxa"/>
            <w:shd w:val="clear" w:color="auto" w:fill="FFFFFF" w:themeFill="background1"/>
          </w:tcPr>
          <w:p w:rsidR="0029379B" w:rsidRPr="00310155" w:rsidRDefault="0029379B">
            <w:pPr>
              <w:pStyle w:val="Default"/>
              <w:rPr>
                <w:b/>
                <w:sz w:val="22"/>
                <w:szCs w:val="22"/>
              </w:rPr>
            </w:pPr>
            <w:r w:rsidRPr="00310155">
              <w:rPr>
                <w:b/>
                <w:sz w:val="22"/>
                <w:szCs w:val="22"/>
              </w:rPr>
              <w:t xml:space="preserve">HOURS </w:t>
            </w:r>
          </w:p>
        </w:tc>
      </w:tr>
      <w:tr w:rsidR="0029379B" w:rsidTr="007C7404">
        <w:trPr>
          <w:trHeight w:val="162"/>
        </w:trPr>
        <w:tc>
          <w:tcPr>
            <w:tcW w:w="1454" w:type="dxa"/>
            <w:shd w:val="clear" w:color="auto" w:fill="FFFFFF" w:themeFill="background1"/>
          </w:tcPr>
          <w:p w:rsidR="0029379B" w:rsidRDefault="0029379B">
            <w:pPr>
              <w:pStyle w:val="Default"/>
              <w:rPr>
                <w:sz w:val="22"/>
                <w:szCs w:val="22"/>
              </w:rPr>
            </w:pPr>
            <w:r>
              <w:rPr>
                <w:b/>
                <w:bCs/>
                <w:sz w:val="22"/>
                <w:szCs w:val="22"/>
              </w:rPr>
              <w:t xml:space="preserve">1 </w:t>
            </w:r>
          </w:p>
        </w:tc>
        <w:tc>
          <w:tcPr>
            <w:tcW w:w="1454" w:type="dxa"/>
            <w:shd w:val="clear" w:color="auto" w:fill="FFFFFF" w:themeFill="background1"/>
          </w:tcPr>
          <w:p w:rsidR="0029379B" w:rsidRDefault="0029379B">
            <w:pPr>
              <w:pStyle w:val="Default"/>
              <w:rPr>
                <w:sz w:val="22"/>
                <w:szCs w:val="22"/>
              </w:rPr>
            </w:pPr>
            <w:r>
              <w:rPr>
                <w:sz w:val="22"/>
                <w:szCs w:val="22"/>
              </w:rPr>
              <w:t xml:space="preserve">80 </w:t>
            </w:r>
          </w:p>
        </w:tc>
      </w:tr>
      <w:tr w:rsidR="0029379B" w:rsidTr="007C7404">
        <w:trPr>
          <w:trHeight w:val="162"/>
        </w:trPr>
        <w:tc>
          <w:tcPr>
            <w:tcW w:w="1454" w:type="dxa"/>
            <w:shd w:val="clear" w:color="auto" w:fill="FFFFFF" w:themeFill="background1"/>
          </w:tcPr>
          <w:p w:rsidR="0029379B" w:rsidRDefault="0029379B">
            <w:pPr>
              <w:pStyle w:val="Default"/>
              <w:rPr>
                <w:sz w:val="22"/>
                <w:szCs w:val="22"/>
              </w:rPr>
            </w:pPr>
            <w:r>
              <w:rPr>
                <w:b/>
                <w:bCs/>
                <w:sz w:val="22"/>
                <w:szCs w:val="22"/>
              </w:rPr>
              <w:t xml:space="preserve">2 </w:t>
            </w:r>
          </w:p>
        </w:tc>
        <w:tc>
          <w:tcPr>
            <w:tcW w:w="1454" w:type="dxa"/>
            <w:shd w:val="clear" w:color="auto" w:fill="FFFFFF" w:themeFill="background1"/>
          </w:tcPr>
          <w:p w:rsidR="0029379B" w:rsidRDefault="0029379B">
            <w:pPr>
              <w:pStyle w:val="Default"/>
              <w:rPr>
                <w:sz w:val="22"/>
                <w:szCs w:val="22"/>
              </w:rPr>
            </w:pPr>
            <w:r>
              <w:rPr>
                <w:sz w:val="22"/>
                <w:szCs w:val="22"/>
              </w:rPr>
              <w:t xml:space="preserve">160 </w:t>
            </w:r>
          </w:p>
        </w:tc>
      </w:tr>
      <w:tr w:rsidR="0029379B" w:rsidTr="007C7404">
        <w:trPr>
          <w:trHeight w:val="162"/>
        </w:trPr>
        <w:tc>
          <w:tcPr>
            <w:tcW w:w="1454" w:type="dxa"/>
            <w:shd w:val="clear" w:color="auto" w:fill="FFFFFF" w:themeFill="background1"/>
          </w:tcPr>
          <w:p w:rsidR="0029379B" w:rsidRDefault="0029379B">
            <w:pPr>
              <w:pStyle w:val="Default"/>
              <w:rPr>
                <w:sz w:val="22"/>
                <w:szCs w:val="22"/>
              </w:rPr>
            </w:pPr>
            <w:r>
              <w:rPr>
                <w:b/>
                <w:bCs/>
                <w:sz w:val="22"/>
                <w:szCs w:val="22"/>
              </w:rPr>
              <w:t xml:space="preserve">3 </w:t>
            </w:r>
          </w:p>
        </w:tc>
        <w:tc>
          <w:tcPr>
            <w:tcW w:w="1454" w:type="dxa"/>
            <w:shd w:val="clear" w:color="auto" w:fill="FFFFFF" w:themeFill="background1"/>
          </w:tcPr>
          <w:p w:rsidR="0029379B" w:rsidRDefault="0068193D">
            <w:pPr>
              <w:pStyle w:val="Default"/>
              <w:rPr>
                <w:sz w:val="22"/>
                <w:szCs w:val="22"/>
              </w:rPr>
            </w:pPr>
            <w:r>
              <w:rPr>
                <w:sz w:val="22"/>
                <w:szCs w:val="22"/>
              </w:rPr>
              <w:t>480</w:t>
            </w:r>
          </w:p>
        </w:tc>
      </w:tr>
      <w:tr w:rsidR="0029379B" w:rsidTr="007C7404">
        <w:trPr>
          <w:trHeight w:val="162"/>
        </w:trPr>
        <w:tc>
          <w:tcPr>
            <w:tcW w:w="1454" w:type="dxa"/>
            <w:shd w:val="clear" w:color="auto" w:fill="FFFFFF" w:themeFill="background1"/>
          </w:tcPr>
          <w:p w:rsidR="0029379B" w:rsidRDefault="0029379B">
            <w:pPr>
              <w:pStyle w:val="Default"/>
              <w:rPr>
                <w:sz w:val="22"/>
                <w:szCs w:val="22"/>
              </w:rPr>
            </w:pPr>
            <w:r>
              <w:rPr>
                <w:b/>
                <w:bCs/>
                <w:sz w:val="22"/>
                <w:szCs w:val="22"/>
              </w:rPr>
              <w:t xml:space="preserve">4 </w:t>
            </w:r>
          </w:p>
        </w:tc>
        <w:tc>
          <w:tcPr>
            <w:tcW w:w="1454" w:type="dxa"/>
            <w:shd w:val="clear" w:color="auto" w:fill="FFFFFF" w:themeFill="background1"/>
          </w:tcPr>
          <w:p w:rsidR="0029379B" w:rsidRDefault="0068193D" w:rsidP="0068193D">
            <w:pPr>
              <w:pStyle w:val="Default"/>
              <w:rPr>
                <w:sz w:val="22"/>
                <w:szCs w:val="22"/>
              </w:rPr>
            </w:pPr>
            <w:r>
              <w:rPr>
                <w:sz w:val="22"/>
                <w:szCs w:val="22"/>
              </w:rPr>
              <w:t>640</w:t>
            </w:r>
            <w:r w:rsidR="0029379B">
              <w:rPr>
                <w:sz w:val="22"/>
                <w:szCs w:val="22"/>
              </w:rPr>
              <w:t xml:space="preserve"> </w:t>
            </w:r>
          </w:p>
        </w:tc>
      </w:tr>
      <w:tr w:rsidR="0029379B" w:rsidTr="007C7404">
        <w:trPr>
          <w:trHeight w:val="162"/>
        </w:trPr>
        <w:tc>
          <w:tcPr>
            <w:tcW w:w="1454" w:type="dxa"/>
            <w:shd w:val="clear" w:color="auto" w:fill="FFFFFF" w:themeFill="background1"/>
          </w:tcPr>
          <w:p w:rsidR="0029379B" w:rsidRDefault="0029379B">
            <w:pPr>
              <w:pStyle w:val="Default"/>
              <w:rPr>
                <w:sz w:val="22"/>
                <w:szCs w:val="22"/>
              </w:rPr>
            </w:pPr>
            <w:r>
              <w:rPr>
                <w:b/>
                <w:bCs/>
                <w:sz w:val="22"/>
                <w:szCs w:val="22"/>
              </w:rPr>
              <w:lastRenderedPageBreak/>
              <w:t xml:space="preserve">5 </w:t>
            </w:r>
          </w:p>
        </w:tc>
        <w:tc>
          <w:tcPr>
            <w:tcW w:w="1454" w:type="dxa"/>
            <w:shd w:val="clear" w:color="auto" w:fill="FFFFFF" w:themeFill="background1"/>
          </w:tcPr>
          <w:p w:rsidR="0029379B" w:rsidRDefault="008A07A0">
            <w:pPr>
              <w:pStyle w:val="Default"/>
              <w:rPr>
                <w:sz w:val="22"/>
                <w:szCs w:val="22"/>
              </w:rPr>
            </w:pPr>
            <w:r>
              <w:rPr>
                <w:sz w:val="22"/>
                <w:szCs w:val="22"/>
              </w:rPr>
              <w:t>800</w:t>
            </w:r>
          </w:p>
        </w:tc>
      </w:tr>
      <w:tr w:rsidR="0029379B" w:rsidTr="007C7404">
        <w:trPr>
          <w:trHeight w:val="162"/>
        </w:trPr>
        <w:tc>
          <w:tcPr>
            <w:tcW w:w="1454" w:type="dxa"/>
            <w:shd w:val="clear" w:color="auto" w:fill="FFFFFF" w:themeFill="background1"/>
          </w:tcPr>
          <w:p w:rsidR="0029379B" w:rsidRDefault="0029379B">
            <w:pPr>
              <w:pStyle w:val="Default"/>
              <w:rPr>
                <w:sz w:val="22"/>
                <w:szCs w:val="22"/>
              </w:rPr>
            </w:pPr>
            <w:r>
              <w:rPr>
                <w:b/>
                <w:bCs/>
                <w:sz w:val="22"/>
                <w:szCs w:val="22"/>
              </w:rPr>
              <w:t xml:space="preserve">6+ </w:t>
            </w:r>
          </w:p>
        </w:tc>
        <w:tc>
          <w:tcPr>
            <w:tcW w:w="1454" w:type="dxa"/>
            <w:shd w:val="clear" w:color="auto" w:fill="FFFFFF" w:themeFill="background1"/>
          </w:tcPr>
          <w:p w:rsidR="0029379B" w:rsidRDefault="008A07A0">
            <w:pPr>
              <w:pStyle w:val="Default"/>
              <w:rPr>
                <w:sz w:val="22"/>
                <w:szCs w:val="22"/>
              </w:rPr>
            </w:pPr>
            <w:r>
              <w:rPr>
                <w:sz w:val="22"/>
                <w:szCs w:val="22"/>
              </w:rPr>
              <w:t>960</w:t>
            </w:r>
          </w:p>
        </w:tc>
      </w:tr>
    </w:tbl>
    <w:p w:rsidR="007C7404" w:rsidRDefault="007C7404" w:rsidP="007C7404">
      <w:pPr>
        <w:pStyle w:val="Default"/>
        <w:rPr>
          <w:sz w:val="22"/>
          <w:szCs w:val="22"/>
        </w:rPr>
      </w:pPr>
    </w:p>
    <w:p w:rsidR="007C7404" w:rsidRDefault="007C7404" w:rsidP="007C7404">
      <w:pPr>
        <w:pStyle w:val="Default"/>
        <w:rPr>
          <w:rFonts w:ascii="Times New Roman" w:hAnsi="Times New Roman" w:cs="Times New Roman"/>
          <w:sz w:val="22"/>
          <w:szCs w:val="22"/>
        </w:rPr>
      </w:pPr>
      <w:r w:rsidRPr="00152304">
        <w:rPr>
          <w:rFonts w:ascii="Times New Roman" w:hAnsi="Times New Roman" w:cs="Times New Roman"/>
          <w:sz w:val="22"/>
          <w:szCs w:val="22"/>
        </w:rPr>
        <w:t xml:space="preserve">OJTs are designed to be limited in duration as appropriate to the occupation for which the participant is being trained, taking into account the content of the training, prior work experience of the participant, and the </w:t>
      </w:r>
      <w:r w:rsidR="00531B7A">
        <w:rPr>
          <w:rFonts w:ascii="Times New Roman" w:hAnsi="Times New Roman" w:cs="Times New Roman"/>
          <w:sz w:val="22"/>
          <w:szCs w:val="22"/>
        </w:rPr>
        <w:t>IEP/ISS</w:t>
      </w:r>
      <w:r w:rsidRPr="00152304">
        <w:rPr>
          <w:rFonts w:ascii="Times New Roman" w:hAnsi="Times New Roman" w:cs="Times New Roman"/>
          <w:sz w:val="22"/>
          <w:szCs w:val="22"/>
        </w:rPr>
        <w:t xml:space="preserve"> of the participant. The OJT training hours for a participant must be reduced if a participant has prior-related employment or training in the same or similar occupation. Previous training or experience, which occurred so long ago that skills gained from that experience are obsolete, may be disregarded to the extent that those skills need to be relearned or re-acquired. </w:t>
      </w:r>
    </w:p>
    <w:p w:rsidR="007C7404" w:rsidRDefault="007C7404" w:rsidP="007C7404">
      <w:pPr>
        <w:spacing w:after="0" w:line="240" w:lineRule="auto"/>
        <w:rPr>
          <w:rFonts w:eastAsia="+mn-ea" w:cs="Times New Roman"/>
          <w:b/>
          <w:bCs/>
          <w:color w:val="BB1F53"/>
          <w:kern w:val="24"/>
          <w:sz w:val="24"/>
          <w:szCs w:val="24"/>
        </w:rPr>
      </w:pPr>
    </w:p>
    <w:p w:rsidR="00531B7A" w:rsidRDefault="00531B7A" w:rsidP="00531B7A">
      <w:pPr>
        <w:pStyle w:val="Default"/>
        <w:rPr>
          <w:rFonts w:ascii="Times New Roman" w:eastAsia="+mn-ea" w:hAnsi="Times New Roman" w:cs="Times New Roman"/>
          <w:b/>
          <w:bCs/>
          <w:color w:val="BB1F53"/>
          <w:kern w:val="24"/>
          <w:sz w:val="22"/>
          <w:szCs w:val="22"/>
        </w:rPr>
      </w:pPr>
      <w:r>
        <w:rPr>
          <w:rFonts w:ascii="Times New Roman" w:eastAsia="+mn-ea" w:hAnsi="Times New Roman" w:cs="Times New Roman"/>
          <w:b/>
          <w:bCs/>
          <w:color w:val="BB1F53"/>
          <w:kern w:val="24"/>
          <w:sz w:val="22"/>
          <w:szCs w:val="22"/>
        </w:rPr>
        <w:t>OJT Training Plan</w:t>
      </w:r>
    </w:p>
    <w:p w:rsidR="00531B7A" w:rsidRDefault="00531B7A" w:rsidP="00531B7A">
      <w:pPr>
        <w:pStyle w:val="Default"/>
        <w:rPr>
          <w:rFonts w:ascii="Times New Roman" w:eastAsia="+mn-ea" w:hAnsi="Times New Roman" w:cs="Times New Roman"/>
          <w:bCs/>
          <w:color w:val="auto"/>
          <w:kern w:val="24"/>
          <w:sz w:val="22"/>
          <w:szCs w:val="22"/>
        </w:rPr>
      </w:pPr>
      <w:r>
        <w:rPr>
          <w:rFonts w:ascii="Times New Roman" w:eastAsia="+mn-ea" w:hAnsi="Times New Roman" w:cs="Times New Roman"/>
          <w:bCs/>
          <w:color w:val="auto"/>
          <w:kern w:val="24"/>
          <w:sz w:val="22"/>
          <w:szCs w:val="22"/>
        </w:rPr>
        <w:t xml:space="preserve">An OJT training plan must be established for each participant placed in an OJT and based on the skills to be acquired during the OJT. Each training plan must be unique and tailored to the specific training needs of the participant. </w:t>
      </w:r>
    </w:p>
    <w:p w:rsidR="00531B7A" w:rsidRPr="00531B7A" w:rsidRDefault="00531B7A" w:rsidP="00531B7A">
      <w:pPr>
        <w:pStyle w:val="Default"/>
        <w:rPr>
          <w:rFonts w:ascii="Times New Roman" w:hAnsi="Times New Roman" w:cs="Times New Roman"/>
          <w:color w:val="auto"/>
          <w:sz w:val="22"/>
          <w:szCs w:val="22"/>
        </w:rPr>
      </w:pPr>
    </w:p>
    <w:p w:rsidR="00531B7A" w:rsidRDefault="00531B7A" w:rsidP="00531B7A">
      <w:pPr>
        <w:pStyle w:val="Default"/>
        <w:rPr>
          <w:rFonts w:ascii="Times New Roman" w:eastAsia="+mn-ea" w:hAnsi="Times New Roman" w:cs="Times New Roman"/>
          <w:b/>
          <w:bCs/>
          <w:color w:val="BB1F53"/>
          <w:kern w:val="24"/>
          <w:sz w:val="22"/>
          <w:szCs w:val="22"/>
        </w:rPr>
      </w:pPr>
      <w:r>
        <w:rPr>
          <w:rFonts w:ascii="Times New Roman" w:eastAsia="+mn-ea" w:hAnsi="Times New Roman" w:cs="Times New Roman"/>
          <w:b/>
          <w:bCs/>
          <w:color w:val="BB1F53"/>
          <w:kern w:val="24"/>
          <w:sz w:val="22"/>
          <w:szCs w:val="22"/>
        </w:rPr>
        <w:t>Records Retention</w:t>
      </w:r>
    </w:p>
    <w:p w:rsidR="00531B7A" w:rsidRDefault="00531B7A" w:rsidP="00531B7A">
      <w:pPr>
        <w:pStyle w:val="Default"/>
        <w:rPr>
          <w:rFonts w:ascii="Times New Roman" w:eastAsia="+mn-ea" w:hAnsi="Times New Roman" w:cs="Times New Roman"/>
          <w:bCs/>
          <w:color w:val="auto"/>
          <w:kern w:val="24"/>
          <w:sz w:val="22"/>
          <w:szCs w:val="22"/>
        </w:rPr>
      </w:pPr>
      <w:r>
        <w:rPr>
          <w:rFonts w:ascii="Times New Roman" w:eastAsia="+mn-ea" w:hAnsi="Times New Roman" w:cs="Times New Roman"/>
          <w:bCs/>
          <w:color w:val="auto"/>
          <w:kern w:val="24"/>
          <w:sz w:val="22"/>
          <w:szCs w:val="22"/>
        </w:rPr>
        <w:t xml:space="preserve">Each employer providing OJT must maintain records relating to the participant and the OJT for a period of no less than three years from the close of the applicable program year, or longer if any litigation or audit has begun or any claim is instituted which involves these records. In that case, the employer must retain the records for a period of no less than three years from the conclusion or resolution of the litigation, audit findings, or claim. The employer must allow access to those records for authorized entities, including local area staff performing the oversight and monitoring activities. </w:t>
      </w:r>
    </w:p>
    <w:p w:rsidR="00531B7A" w:rsidRPr="00531B7A" w:rsidRDefault="00531B7A" w:rsidP="00531B7A">
      <w:pPr>
        <w:pStyle w:val="Default"/>
        <w:rPr>
          <w:rFonts w:ascii="Times New Roman" w:eastAsia="+mn-ea" w:hAnsi="Times New Roman" w:cs="Times New Roman"/>
          <w:bCs/>
          <w:color w:val="auto"/>
          <w:kern w:val="24"/>
          <w:sz w:val="22"/>
          <w:szCs w:val="22"/>
        </w:rPr>
      </w:pPr>
    </w:p>
    <w:p w:rsidR="009D400B" w:rsidRDefault="009D400B" w:rsidP="00685C25">
      <w:pPr>
        <w:spacing w:after="0" w:line="240" w:lineRule="auto"/>
        <w:rPr>
          <w:rFonts w:eastAsia="+mn-ea" w:cs="Times New Roman"/>
          <w:b/>
          <w:bCs/>
          <w:color w:val="BB1F53"/>
          <w:kern w:val="24"/>
          <w:sz w:val="24"/>
          <w:szCs w:val="24"/>
        </w:rPr>
      </w:pPr>
      <w:r>
        <w:rPr>
          <w:rFonts w:eastAsia="+mn-ea" w:cs="Times New Roman"/>
          <w:b/>
          <w:bCs/>
          <w:color w:val="BB1F53"/>
          <w:kern w:val="24"/>
          <w:sz w:val="24"/>
          <w:szCs w:val="24"/>
        </w:rPr>
        <w:t>Documentation</w:t>
      </w:r>
      <w:r w:rsidR="00B35978">
        <w:rPr>
          <w:rFonts w:eastAsia="+mn-ea" w:cs="Times New Roman"/>
          <w:b/>
          <w:bCs/>
          <w:color w:val="BB1F53"/>
          <w:kern w:val="24"/>
          <w:sz w:val="24"/>
          <w:szCs w:val="24"/>
        </w:rPr>
        <w:t>/ Monitoring</w:t>
      </w:r>
      <w:r>
        <w:rPr>
          <w:rFonts w:eastAsia="+mn-ea" w:cs="Times New Roman"/>
          <w:b/>
          <w:bCs/>
          <w:color w:val="BB1F53"/>
          <w:kern w:val="24"/>
          <w:sz w:val="24"/>
          <w:szCs w:val="24"/>
        </w:rPr>
        <w:t xml:space="preserve"> </w:t>
      </w:r>
    </w:p>
    <w:p w:rsidR="00B35978" w:rsidRDefault="009D400B" w:rsidP="00685C25">
      <w:pPr>
        <w:spacing w:after="0" w:line="240" w:lineRule="auto"/>
        <w:rPr>
          <w:rFonts w:eastAsia="+mn-ea" w:cs="Times New Roman"/>
          <w:bCs/>
          <w:kern w:val="24"/>
          <w:sz w:val="24"/>
          <w:szCs w:val="24"/>
        </w:rPr>
      </w:pPr>
      <w:r>
        <w:rPr>
          <w:rFonts w:eastAsia="+mn-ea" w:cs="Times New Roman"/>
          <w:bCs/>
          <w:kern w:val="24"/>
          <w:sz w:val="24"/>
          <w:szCs w:val="24"/>
        </w:rPr>
        <w:t>The</w:t>
      </w:r>
      <w:r w:rsidR="00220195">
        <w:rPr>
          <w:rFonts w:eastAsia="+mn-ea" w:cs="Times New Roman"/>
          <w:bCs/>
          <w:kern w:val="24"/>
          <w:sz w:val="24"/>
          <w:szCs w:val="24"/>
        </w:rPr>
        <w:t xml:space="preserve"> participant need and eligibility </w:t>
      </w:r>
      <w:r>
        <w:rPr>
          <w:rFonts w:eastAsia="+mn-ea" w:cs="Times New Roman"/>
          <w:bCs/>
          <w:kern w:val="24"/>
          <w:sz w:val="24"/>
          <w:szCs w:val="24"/>
        </w:rPr>
        <w:t>must be documented in a ca</w:t>
      </w:r>
      <w:r w:rsidR="00953C27">
        <w:rPr>
          <w:rFonts w:eastAsia="+mn-ea" w:cs="Times New Roman"/>
          <w:bCs/>
          <w:kern w:val="24"/>
          <w:sz w:val="24"/>
          <w:szCs w:val="24"/>
        </w:rPr>
        <w:t xml:space="preserve">se note and the </w:t>
      </w:r>
      <w:r w:rsidR="00310155">
        <w:rPr>
          <w:rFonts w:eastAsia="+mn-ea" w:cs="Times New Roman"/>
          <w:bCs/>
          <w:kern w:val="24"/>
          <w:sz w:val="24"/>
          <w:szCs w:val="24"/>
        </w:rPr>
        <w:t>ISS/</w:t>
      </w:r>
      <w:r w:rsidR="00953C27">
        <w:rPr>
          <w:rFonts w:eastAsia="+mn-ea" w:cs="Times New Roman"/>
          <w:bCs/>
          <w:kern w:val="24"/>
          <w:sz w:val="24"/>
          <w:szCs w:val="24"/>
        </w:rPr>
        <w:t>IEP</w:t>
      </w:r>
      <w:r>
        <w:rPr>
          <w:rFonts w:eastAsia="+mn-ea" w:cs="Times New Roman"/>
          <w:bCs/>
          <w:kern w:val="24"/>
          <w:sz w:val="24"/>
          <w:szCs w:val="24"/>
        </w:rPr>
        <w:t>. A</w:t>
      </w:r>
      <w:r w:rsidR="00AA6CA4">
        <w:rPr>
          <w:rFonts w:eastAsia="+mn-ea" w:cs="Times New Roman"/>
          <w:bCs/>
          <w:kern w:val="24"/>
          <w:sz w:val="24"/>
          <w:szCs w:val="24"/>
        </w:rPr>
        <w:t>n</w:t>
      </w:r>
      <w:r>
        <w:rPr>
          <w:rFonts w:eastAsia="+mn-ea" w:cs="Times New Roman"/>
          <w:bCs/>
          <w:kern w:val="24"/>
          <w:sz w:val="24"/>
          <w:szCs w:val="24"/>
        </w:rPr>
        <w:t xml:space="preserve"> NEworks activity must a</w:t>
      </w:r>
      <w:r w:rsidR="006A0640">
        <w:rPr>
          <w:rFonts w:eastAsia="+mn-ea" w:cs="Times New Roman"/>
          <w:bCs/>
          <w:kern w:val="24"/>
          <w:sz w:val="24"/>
          <w:szCs w:val="24"/>
        </w:rPr>
        <w:t xml:space="preserve">lso be opened. </w:t>
      </w:r>
    </w:p>
    <w:p w:rsidR="006A0640" w:rsidRDefault="006A0640" w:rsidP="00685C25">
      <w:pPr>
        <w:spacing w:after="0" w:line="240" w:lineRule="auto"/>
        <w:rPr>
          <w:rFonts w:eastAsia="+mn-ea" w:cs="Times New Roman"/>
          <w:bCs/>
          <w:kern w:val="24"/>
          <w:sz w:val="24"/>
          <w:szCs w:val="24"/>
        </w:rPr>
      </w:pPr>
    </w:p>
    <w:p w:rsidR="003F7BE6" w:rsidRDefault="003F7BE6" w:rsidP="00685C25">
      <w:pPr>
        <w:spacing w:after="0" w:line="240" w:lineRule="auto"/>
        <w:rPr>
          <w:rFonts w:eastAsia="+mn-ea" w:cs="Times New Roman"/>
          <w:bCs/>
          <w:kern w:val="24"/>
          <w:sz w:val="24"/>
          <w:szCs w:val="24"/>
        </w:rPr>
      </w:pPr>
      <w:r>
        <w:rPr>
          <w:rFonts w:eastAsia="+mn-ea" w:cs="Times New Roman"/>
          <w:bCs/>
          <w:kern w:val="24"/>
          <w:sz w:val="24"/>
          <w:szCs w:val="24"/>
        </w:rPr>
        <w:t xml:space="preserve">A signed </w:t>
      </w:r>
      <w:r w:rsidR="006A0640">
        <w:rPr>
          <w:rFonts w:eastAsia="+mn-ea" w:cs="Times New Roman"/>
          <w:bCs/>
          <w:kern w:val="24"/>
          <w:sz w:val="24"/>
          <w:szCs w:val="24"/>
        </w:rPr>
        <w:t xml:space="preserve">pre-award, contract, and training plan </w:t>
      </w:r>
      <w:r>
        <w:rPr>
          <w:rFonts w:eastAsia="+mn-ea" w:cs="Times New Roman"/>
          <w:bCs/>
          <w:kern w:val="24"/>
          <w:sz w:val="24"/>
          <w:szCs w:val="24"/>
        </w:rPr>
        <w:t xml:space="preserve">is required in the participant file prior to </w:t>
      </w:r>
      <w:r w:rsidR="006A0640">
        <w:rPr>
          <w:rFonts w:eastAsia="+mn-ea" w:cs="Times New Roman"/>
          <w:bCs/>
          <w:kern w:val="24"/>
          <w:sz w:val="24"/>
          <w:szCs w:val="24"/>
        </w:rPr>
        <w:t>the start of work.</w:t>
      </w:r>
    </w:p>
    <w:p w:rsidR="00B35978" w:rsidRDefault="00B35978" w:rsidP="00685C25">
      <w:pPr>
        <w:spacing w:after="0" w:line="240" w:lineRule="auto"/>
        <w:rPr>
          <w:rFonts w:eastAsia="+mn-ea" w:cs="Times New Roman"/>
          <w:bCs/>
          <w:kern w:val="24"/>
          <w:sz w:val="24"/>
          <w:szCs w:val="24"/>
        </w:rPr>
      </w:pPr>
    </w:p>
    <w:p w:rsidR="00B35978" w:rsidRPr="009D400B" w:rsidRDefault="00B35978" w:rsidP="00685C25">
      <w:pPr>
        <w:spacing w:after="0" w:line="240" w:lineRule="auto"/>
        <w:rPr>
          <w:rFonts w:eastAsia="+mn-ea" w:cs="Times New Roman"/>
          <w:bCs/>
          <w:kern w:val="24"/>
          <w:sz w:val="24"/>
          <w:szCs w:val="24"/>
        </w:rPr>
      </w:pPr>
      <w:r>
        <w:rPr>
          <w:rFonts w:eastAsia="+mn-ea" w:cs="Times New Roman"/>
          <w:bCs/>
          <w:kern w:val="24"/>
          <w:sz w:val="24"/>
          <w:szCs w:val="24"/>
        </w:rPr>
        <w:t>Monitoring will be completed at least once a month</w:t>
      </w:r>
      <w:r w:rsidR="00A70C62">
        <w:rPr>
          <w:rFonts w:eastAsia="+mn-ea" w:cs="Times New Roman"/>
          <w:bCs/>
          <w:kern w:val="24"/>
          <w:sz w:val="24"/>
          <w:szCs w:val="24"/>
        </w:rPr>
        <w:t>, in person or via phone or email,</w:t>
      </w:r>
      <w:r>
        <w:rPr>
          <w:rFonts w:eastAsia="+mn-ea" w:cs="Times New Roman"/>
          <w:bCs/>
          <w:kern w:val="24"/>
          <w:sz w:val="24"/>
          <w:szCs w:val="24"/>
        </w:rPr>
        <w:t xml:space="preserve"> and must be documented in a case note and</w:t>
      </w:r>
      <w:r w:rsidR="001A28B9">
        <w:rPr>
          <w:rFonts w:eastAsia="+mn-ea" w:cs="Times New Roman"/>
          <w:bCs/>
          <w:kern w:val="24"/>
          <w:sz w:val="24"/>
          <w:szCs w:val="24"/>
        </w:rPr>
        <w:t xml:space="preserve"> </w:t>
      </w:r>
      <w:r w:rsidR="00310155">
        <w:rPr>
          <w:rFonts w:eastAsia="+mn-ea" w:cs="Times New Roman"/>
          <w:bCs/>
          <w:kern w:val="24"/>
          <w:sz w:val="24"/>
          <w:szCs w:val="24"/>
        </w:rPr>
        <w:t>ISS/</w:t>
      </w:r>
      <w:r w:rsidR="001A28B9">
        <w:rPr>
          <w:rFonts w:eastAsia="+mn-ea" w:cs="Times New Roman"/>
          <w:bCs/>
          <w:kern w:val="24"/>
          <w:sz w:val="24"/>
          <w:szCs w:val="24"/>
        </w:rPr>
        <w:t>IEP</w:t>
      </w:r>
      <w:r>
        <w:rPr>
          <w:rFonts w:eastAsia="+mn-ea" w:cs="Times New Roman"/>
          <w:bCs/>
          <w:kern w:val="24"/>
          <w:sz w:val="24"/>
          <w:szCs w:val="24"/>
        </w:rPr>
        <w:t xml:space="preserve">. </w:t>
      </w:r>
      <w:r w:rsidR="00734745">
        <w:rPr>
          <w:rFonts w:eastAsia="+mn-ea" w:cs="Times New Roman"/>
          <w:bCs/>
          <w:kern w:val="24"/>
          <w:sz w:val="24"/>
          <w:szCs w:val="24"/>
        </w:rPr>
        <w:t xml:space="preserve">Monitoring must include participant progress, working conditions, compensation made and benefits provided to the participant, invoicing by and reimbursement to the employer, and recordkeeping and record retention by the employer, including records describing wages, benefits, time and attendance records, and other personnel records generated and maintained by the employer for other trainees or employees. </w:t>
      </w:r>
    </w:p>
    <w:p w:rsidR="009D400B" w:rsidRDefault="009D400B" w:rsidP="00685C25">
      <w:pPr>
        <w:spacing w:after="0" w:line="240" w:lineRule="auto"/>
        <w:rPr>
          <w:rFonts w:eastAsia="+mn-ea" w:cs="Times New Roman"/>
          <w:b/>
          <w:bCs/>
          <w:color w:val="BB1F53"/>
          <w:kern w:val="24"/>
          <w:sz w:val="24"/>
          <w:szCs w:val="24"/>
        </w:rPr>
      </w:pPr>
    </w:p>
    <w:p w:rsidR="00685C25" w:rsidRPr="00B13F81" w:rsidRDefault="00685C25" w:rsidP="00685C25">
      <w:pPr>
        <w:spacing w:after="0" w:line="240" w:lineRule="auto"/>
        <w:rPr>
          <w:rFonts w:eastAsia="+mn-ea" w:cs="Times New Roman"/>
          <w:b/>
          <w:bCs/>
          <w:color w:val="BB1F53"/>
          <w:kern w:val="24"/>
          <w:sz w:val="24"/>
          <w:szCs w:val="24"/>
        </w:rPr>
      </w:pPr>
      <w:r w:rsidRPr="00B13F81">
        <w:rPr>
          <w:rFonts w:eastAsia="+mn-ea" w:cs="Times New Roman"/>
          <w:b/>
          <w:bCs/>
          <w:color w:val="BB1F53"/>
          <w:kern w:val="24"/>
          <w:sz w:val="24"/>
          <w:szCs w:val="24"/>
        </w:rPr>
        <w:t>Disclaimer</w:t>
      </w:r>
    </w:p>
    <w:p w:rsidR="00A17FD3" w:rsidRDefault="00685C25" w:rsidP="00F02EAF">
      <w:pPr>
        <w:spacing w:after="0" w:line="240" w:lineRule="auto"/>
        <w:jc w:val="both"/>
        <w:rPr>
          <w:rFonts w:eastAsia="Times New Roman" w:cs="Times New Roman"/>
          <w:sz w:val="24"/>
          <w:szCs w:val="24"/>
        </w:rPr>
      </w:pPr>
      <w:r w:rsidRPr="005B3B52">
        <w:rPr>
          <w:rFonts w:eastAsia="Times New Roman" w:cs="Times New Roman"/>
          <w:sz w:val="24"/>
          <w:szCs w:val="24"/>
        </w:rPr>
        <w:t>This policy is based on Greater Nebraska’s reading of the applicable statutes, regulations, rules and guidance released by the U.S. Government and the State of Nebraska.  This policy is subject to change as revised or additional statutes, regulations, rules and guidance are issued.</w:t>
      </w:r>
    </w:p>
    <w:p w:rsidR="00A17FD3" w:rsidRDefault="00A17FD3" w:rsidP="00F02EAF">
      <w:pPr>
        <w:spacing w:after="0" w:line="240" w:lineRule="auto"/>
        <w:jc w:val="both"/>
        <w:rPr>
          <w:rFonts w:eastAsia="Times New Roman" w:cs="Times New Roman"/>
          <w:sz w:val="24"/>
          <w:szCs w:val="24"/>
        </w:rPr>
      </w:pPr>
    </w:p>
    <w:p w:rsidR="00B01C86" w:rsidRDefault="00B01C86" w:rsidP="00F02EAF">
      <w:pPr>
        <w:spacing w:after="0" w:line="240" w:lineRule="auto"/>
        <w:jc w:val="both"/>
        <w:rPr>
          <w:rFonts w:eastAsia="Times New Roman" w:cs="Times New Roman"/>
          <w:sz w:val="24"/>
          <w:szCs w:val="24"/>
        </w:rPr>
      </w:pPr>
    </w:p>
    <w:p w:rsidR="00B01C86" w:rsidRDefault="00B01C86" w:rsidP="00F02EAF">
      <w:pPr>
        <w:spacing w:after="0" w:line="240" w:lineRule="auto"/>
        <w:jc w:val="both"/>
        <w:rPr>
          <w:rFonts w:eastAsia="Times New Roman" w:cs="Times New Roman"/>
          <w:sz w:val="24"/>
          <w:szCs w:val="24"/>
        </w:rPr>
      </w:pPr>
    </w:p>
    <w:p w:rsidR="00881216" w:rsidRDefault="00881216" w:rsidP="00F02EAF">
      <w:pPr>
        <w:spacing w:after="0" w:line="240" w:lineRule="auto"/>
        <w:jc w:val="both"/>
        <w:rPr>
          <w:rFonts w:eastAsia="Times New Roman" w:cs="Times New Roman"/>
          <w:sz w:val="24"/>
          <w:szCs w:val="24"/>
        </w:rPr>
      </w:pPr>
    </w:p>
    <w:p w:rsidR="00881216" w:rsidRDefault="00881216" w:rsidP="00F02EAF">
      <w:pPr>
        <w:spacing w:after="0" w:line="240" w:lineRule="auto"/>
        <w:jc w:val="both"/>
        <w:rPr>
          <w:rFonts w:eastAsia="Times New Roman" w:cs="Times New Roman"/>
          <w:sz w:val="24"/>
          <w:szCs w:val="24"/>
        </w:rPr>
      </w:pPr>
    </w:p>
    <w:p w:rsidR="00B01C86" w:rsidRDefault="00B01C86" w:rsidP="00F02EAF">
      <w:pPr>
        <w:spacing w:after="0" w:line="240" w:lineRule="auto"/>
        <w:jc w:val="both"/>
        <w:rPr>
          <w:rFonts w:eastAsia="Times New Roman" w:cs="Times New Roman"/>
          <w:sz w:val="24"/>
          <w:szCs w:val="24"/>
        </w:rPr>
      </w:pPr>
    </w:p>
    <w:p w:rsidR="00B01C86" w:rsidRPr="004736CD" w:rsidRDefault="00B01C86" w:rsidP="00F02EAF">
      <w:pPr>
        <w:spacing w:after="0" w:line="240" w:lineRule="auto"/>
        <w:jc w:val="both"/>
        <w:rPr>
          <w:rFonts w:eastAsia="Times New Roman" w:cs="Times New Roman"/>
          <w:b/>
          <w:sz w:val="24"/>
          <w:szCs w:val="24"/>
        </w:rPr>
      </w:pPr>
      <w:r w:rsidRPr="004736CD">
        <w:rPr>
          <w:rFonts w:eastAsia="Times New Roman" w:cs="Times New Roman"/>
          <w:b/>
          <w:sz w:val="24"/>
          <w:szCs w:val="24"/>
        </w:rPr>
        <w:lastRenderedPageBreak/>
        <w:t>Attachment A</w:t>
      </w:r>
    </w:p>
    <w:p w:rsidR="004736CD" w:rsidRDefault="004736CD" w:rsidP="00F02EAF">
      <w:pPr>
        <w:spacing w:after="0" w:line="240" w:lineRule="auto"/>
        <w:jc w:val="both"/>
        <w:rPr>
          <w:rFonts w:eastAsia="Times New Roman" w:cs="Times New Roman"/>
          <w:sz w:val="24"/>
          <w:szCs w:val="24"/>
        </w:rPr>
      </w:pPr>
    </w:p>
    <w:p w:rsidR="004736CD" w:rsidRDefault="004736CD" w:rsidP="004736CD">
      <w:pPr>
        <w:spacing w:after="0" w:line="240" w:lineRule="auto"/>
        <w:jc w:val="both"/>
        <w:rPr>
          <w:rFonts w:eastAsia="Times New Roman" w:cs="Times New Roman"/>
          <w:b/>
          <w:sz w:val="24"/>
          <w:szCs w:val="24"/>
        </w:rPr>
      </w:pPr>
      <w:r w:rsidRPr="004736CD">
        <w:rPr>
          <w:rFonts w:eastAsia="Times New Roman" w:cs="Times New Roman"/>
          <w:b/>
          <w:sz w:val="24"/>
          <w:szCs w:val="24"/>
        </w:rPr>
        <w:t xml:space="preserve">Federal Poverty Guidelines </w:t>
      </w:r>
      <w:r>
        <w:rPr>
          <w:rFonts w:eastAsia="Times New Roman" w:cs="Times New Roman"/>
          <w:b/>
          <w:sz w:val="24"/>
          <w:szCs w:val="24"/>
        </w:rPr>
        <w:t>and 20</w:t>
      </w:r>
      <w:r w:rsidRPr="004736CD">
        <w:rPr>
          <w:rFonts w:eastAsia="Times New Roman" w:cs="Times New Roman"/>
          <w:b/>
          <w:sz w:val="24"/>
          <w:szCs w:val="24"/>
        </w:rPr>
        <w:t>0% Guidelines</w:t>
      </w:r>
      <w:r>
        <w:rPr>
          <w:rFonts w:eastAsia="Times New Roman" w:cs="Times New Roman"/>
          <w:b/>
          <w:sz w:val="24"/>
          <w:szCs w:val="24"/>
        </w:rPr>
        <w:t xml:space="preserve"> </w:t>
      </w:r>
    </w:p>
    <w:p w:rsidR="004736CD" w:rsidRPr="004736CD" w:rsidRDefault="004736CD" w:rsidP="004736CD">
      <w:pPr>
        <w:spacing w:after="0" w:line="240" w:lineRule="auto"/>
        <w:jc w:val="both"/>
        <w:rPr>
          <w:rFonts w:eastAsia="Times New Roman" w:cs="Times New Roman"/>
        </w:rPr>
      </w:pPr>
      <w:r w:rsidRPr="004736CD">
        <w:rPr>
          <w:rFonts w:eastAsia="Times New Roman" w:cs="Times New Roman"/>
        </w:rPr>
        <w:t>Effective 1/11/2019, these guidelines are subject to change as the federal government issues updated policy guidelines.</w:t>
      </w:r>
    </w:p>
    <w:p w:rsidR="004736CD" w:rsidRDefault="004736CD" w:rsidP="00F02EAF">
      <w:pPr>
        <w:spacing w:after="0" w:line="240" w:lineRule="auto"/>
        <w:jc w:val="both"/>
        <w:rPr>
          <w:rFonts w:eastAsia="Times New Roman" w:cs="Times New Roman"/>
          <w:sz w:val="24"/>
          <w:szCs w:val="24"/>
        </w:rPr>
      </w:pPr>
    </w:p>
    <w:tbl>
      <w:tblPr>
        <w:tblStyle w:val="TableGrid"/>
        <w:tblW w:w="0" w:type="auto"/>
        <w:tblLook w:val="04A0" w:firstRow="1" w:lastRow="0" w:firstColumn="1" w:lastColumn="0" w:noHBand="0" w:noVBand="1"/>
      </w:tblPr>
      <w:tblGrid>
        <w:gridCol w:w="2245"/>
        <w:gridCol w:w="2546"/>
        <w:gridCol w:w="2442"/>
        <w:gridCol w:w="2117"/>
      </w:tblGrid>
      <w:tr w:rsidR="004736CD" w:rsidTr="004736CD">
        <w:tc>
          <w:tcPr>
            <w:tcW w:w="2245" w:type="dxa"/>
            <w:vAlign w:val="bottom"/>
          </w:tcPr>
          <w:p w:rsidR="004736CD" w:rsidRPr="004736CD" w:rsidRDefault="004736CD" w:rsidP="004736CD">
            <w:pPr>
              <w:spacing w:line="276" w:lineRule="auto"/>
              <w:jc w:val="center"/>
              <w:rPr>
                <w:b/>
                <w:sz w:val="24"/>
                <w:szCs w:val="24"/>
              </w:rPr>
            </w:pPr>
            <w:r w:rsidRPr="004736CD">
              <w:rPr>
                <w:b/>
                <w:sz w:val="24"/>
                <w:szCs w:val="24"/>
              </w:rPr>
              <w:t>Family Size</w:t>
            </w:r>
          </w:p>
        </w:tc>
        <w:tc>
          <w:tcPr>
            <w:tcW w:w="2546" w:type="dxa"/>
            <w:vAlign w:val="bottom"/>
          </w:tcPr>
          <w:p w:rsidR="004736CD" w:rsidRPr="004736CD" w:rsidRDefault="004736CD" w:rsidP="004736CD">
            <w:pPr>
              <w:spacing w:line="276" w:lineRule="auto"/>
              <w:jc w:val="center"/>
              <w:rPr>
                <w:b/>
                <w:sz w:val="24"/>
                <w:szCs w:val="24"/>
              </w:rPr>
            </w:pPr>
            <w:r w:rsidRPr="004736CD">
              <w:rPr>
                <w:b/>
                <w:sz w:val="24"/>
                <w:szCs w:val="24"/>
              </w:rPr>
              <w:t>2019 Poverty Guideline</w:t>
            </w:r>
          </w:p>
        </w:tc>
        <w:tc>
          <w:tcPr>
            <w:tcW w:w="2442" w:type="dxa"/>
            <w:vAlign w:val="bottom"/>
          </w:tcPr>
          <w:p w:rsidR="004736CD" w:rsidRPr="004736CD" w:rsidRDefault="004736CD" w:rsidP="004736CD">
            <w:pPr>
              <w:spacing w:line="276" w:lineRule="auto"/>
              <w:jc w:val="center"/>
              <w:rPr>
                <w:b/>
                <w:sz w:val="24"/>
                <w:szCs w:val="24"/>
              </w:rPr>
            </w:pPr>
            <w:r w:rsidRPr="004736CD">
              <w:rPr>
                <w:b/>
                <w:sz w:val="24"/>
                <w:szCs w:val="24"/>
              </w:rPr>
              <w:t>200% Guideline</w:t>
            </w:r>
          </w:p>
        </w:tc>
        <w:tc>
          <w:tcPr>
            <w:tcW w:w="2117" w:type="dxa"/>
            <w:vAlign w:val="bottom"/>
          </w:tcPr>
          <w:p w:rsidR="004736CD" w:rsidRPr="004736CD" w:rsidRDefault="004736CD" w:rsidP="004736CD">
            <w:pPr>
              <w:spacing w:line="276" w:lineRule="auto"/>
              <w:jc w:val="center"/>
              <w:rPr>
                <w:b/>
                <w:sz w:val="24"/>
                <w:szCs w:val="24"/>
              </w:rPr>
            </w:pPr>
            <w:r w:rsidRPr="004736CD">
              <w:rPr>
                <w:b/>
                <w:sz w:val="24"/>
                <w:szCs w:val="24"/>
              </w:rPr>
              <w:t>Self-Sufficient Hourly Wage</w:t>
            </w:r>
          </w:p>
        </w:tc>
      </w:tr>
      <w:tr w:rsidR="004736CD" w:rsidTr="00DB5420">
        <w:tc>
          <w:tcPr>
            <w:tcW w:w="2245" w:type="dxa"/>
          </w:tcPr>
          <w:p w:rsidR="004736CD" w:rsidRDefault="004736CD" w:rsidP="00DB5420">
            <w:pPr>
              <w:jc w:val="both"/>
              <w:rPr>
                <w:sz w:val="24"/>
                <w:szCs w:val="24"/>
              </w:rPr>
            </w:pPr>
            <w:r>
              <w:rPr>
                <w:sz w:val="24"/>
                <w:szCs w:val="24"/>
              </w:rPr>
              <w:t>1</w:t>
            </w:r>
          </w:p>
        </w:tc>
        <w:tc>
          <w:tcPr>
            <w:tcW w:w="2546" w:type="dxa"/>
          </w:tcPr>
          <w:p w:rsidR="004736CD" w:rsidRDefault="004736CD" w:rsidP="00DB5420">
            <w:pPr>
              <w:jc w:val="both"/>
              <w:rPr>
                <w:sz w:val="24"/>
                <w:szCs w:val="24"/>
              </w:rPr>
            </w:pPr>
            <w:r>
              <w:rPr>
                <w:sz w:val="24"/>
                <w:szCs w:val="24"/>
              </w:rPr>
              <w:t>$12,490</w:t>
            </w:r>
          </w:p>
        </w:tc>
        <w:tc>
          <w:tcPr>
            <w:tcW w:w="2442" w:type="dxa"/>
          </w:tcPr>
          <w:p w:rsidR="004736CD" w:rsidRDefault="004736CD" w:rsidP="00DB5420">
            <w:pPr>
              <w:jc w:val="both"/>
              <w:rPr>
                <w:sz w:val="24"/>
                <w:szCs w:val="24"/>
              </w:rPr>
            </w:pPr>
            <w:r>
              <w:rPr>
                <w:sz w:val="24"/>
                <w:szCs w:val="24"/>
              </w:rPr>
              <w:t>$24,980</w:t>
            </w:r>
          </w:p>
        </w:tc>
        <w:tc>
          <w:tcPr>
            <w:tcW w:w="2117" w:type="dxa"/>
          </w:tcPr>
          <w:p w:rsidR="004736CD" w:rsidRDefault="004736CD" w:rsidP="00DB5420">
            <w:pPr>
              <w:jc w:val="both"/>
              <w:rPr>
                <w:sz w:val="24"/>
                <w:szCs w:val="24"/>
              </w:rPr>
            </w:pPr>
            <w:r>
              <w:rPr>
                <w:sz w:val="24"/>
                <w:szCs w:val="24"/>
              </w:rPr>
              <w:t>$12.00</w:t>
            </w:r>
          </w:p>
        </w:tc>
      </w:tr>
      <w:tr w:rsidR="004736CD" w:rsidTr="00DB5420">
        <w:tc>
          <w:tcPr>
            <w:tcW w:w="2245" w:type="dxa"/>
          </w:tcPr>
          <w:p w:rsidR="004736CD" w:rsidRDefault="004736CD" w:rsidP="00DB5420">
            <w:pPr>
              <w:jc w:val="both"/>
              <w:rPr>
                <w:sz w:val="24"/>
                <w:szCs w:val="24"/>
              </w:rPr>
            </w:pPr>
            <w:r>
              <w:rPr>
                <w:sz w:val="24"/>
                <w:szCs w:val="24"/>
              </w:rPr>
              <w:t>2</w:t>
            </w:r>
          </w:p>
        </w:tc>
        <w:tc>
          <w:tcPr>
            <w:tcW w:w="2546" w:type="dxa"/>
          </w:tcPr>
          <w:p w:rsidR="004736CD" w:rsidRDefault="004736CD" w:rsidP="00DB5420">
            <w:pPr>
              <w:jc w:val="both"/>
              <w:rPr>
                <w:sz w:val="24"/>
                <w:szCs w:val="24"/>
              </w:rPr>
            </w:pPr>
            <w:r>
              <w:rPr>
                <w:sz w:val="24"/>
                <w:szCs w:val="24"/>
              </w:rPr>
              <w:t>$16,910</w:t>
            </w:r>
          </w:p>
        </w:tc>
        <w:tc>
          <w:tcPr>
            <w:tcW w:w="2442" w:type="dxa"/>
          </w:tcPr>
          <w:p w:rsidR="004736CD" w:rsidRDefault="004736CD" w:rsidP="00DB5420">
            <w:pPr>
              <w:jc w:val="both"/>
              <w:rPr>
                <w:sz w:val="24"/>
                <w:szCs w:val="24"/>
              </w:rPr>
            </w:pPr>
            <w:r>
              <w:rPr>
                <w:sz w:val="24"/>
                <w:szCs w:val="24"/>
              </w:rPr>
              <w:t>$33,830</w:t>
            </w:r>
          </w:p>
        </w:tc>
        <w:tc>
          <w:tcPr>
            <w:tcW w:w="2117" w:type="dxa"/>
          </w:tcPr>
          <w:p w:rsidR="004736CD" w:rsidRDefault="004736CD" w:rsidP="00DB5420">
            <w:pPr>
              <w:jc w:val="both"/>
              <w:rPr>
                <w:sz w:val="24"/>
                <w:szCs w:val="24"/>
              </w:rPr>
            </w:pPr>
            <w:r>
              <w:rPr>
                <w:sz w:val="24"/>
                <w:szCs w:val="24"/>
              </w:rPr>
              <w:t>$16.26</w:t>
            </w:r>
          </w:p>
        </w:tc>
      </w:tr>
      <w:tr w:rsidR="004736CD" w:rsidTr="00DB5420">
        <w:tc>
          <w:tcPr>
            <w:tcW w:w="2245" w:type="dxa"/>
          </w:tcPr>
          <w:p w:rsidR="004736CD" w:rsidRDefault="004736CD" w:rsidP="00DB5420">
            <w:pPr>
              <w:jc w:val="both"/>
              <w:rPr>
                <w:sz w:val="24"/>
                <w:szCs w:val="24"/>
              </w:rPr>
            </w:pPr>
            <w:r>
              <w:rPr>
                <w:sz w:val="24"/>
                <w:szCs w:val="24"/>
              </w:rPr>
              <w:t>3</w:t>
            </w:r>
          </w:p>
        </w:tc>
        <w:tc>
          <w:tcPr>
            <w:tcW w:w="2546" w:type="dxa"/>
          </w:tcPr>
          <w:p w:rsidR="004736CD" w:rsidRDefault="004736CD" w:rsidP="00DB5420">
            <w:pPr>
              <w:jc w:val="both"/>
              <w:rPr>
                <w:sz w:val="24"/>
                <w:szCs w:val="24"/>
              </w:rPr>
            </w:pPr>
            <w:r>
              <w:rPr>
                <w:sz w:val="24"/>
                <w:szCs w:val="24"/>
              </w:rPr>
              <w:t>$21,330</w:t>
            </w:r>
          </w:p>
        </w:tc>
        <w:tc>
          <w:tcPr>
            <w:tcW w:w="2442" w:type="dxa"/>
          </w:tcPr>
          <w:p w:rsidR="004736CD" w:rsidRDefault="004736CD" w:rsidP="00DB5420">
            <w:pPr>
              <w:jc w:val="both"/>
              <w:rPr>
                <w:sz w:val="24"/>
                <w:szCs w:val="24"/>
              </w:rPr>
            </w:pPr>
            <w:r>
              <w:rPr>
                <w:sz w:val="24"/>
                <w:szCs w:val="24"/>
              </w:rPr>
              <w:t>$42,660</w:t>
            </w:r>
          </w:p>
        </w:tc>
        <w:tc>
          <w:tcPr>
            <w:tcW w:w="2117" w:type="dxa"/>
          </w:tcPr>
          <w:p w:rsidR="004736CD" w:rsidRDefault="004736CD" w:rsidP="00DB5420">
            <w:pPr>
              <w:jc w:val="both"/>
              <w:rPr>
                <w:sz w:val="24"/>
                <w:szCs w:val="24"/>
              </w:rPr>
            </w:pPr>
            <w:r>
              <w:rPr>
                <w:sz w:val="24"/>
                <w:szCs w:val="24"/>
              </w:rPr>
              <w:t>$20.51</w:t>
            </w:r>
          </w:p>
        </w:tc>
      </w:tr>
      <w:tr w:rsidR="004736CD" w:rsidTr="00DB5420">
        <w:tc>
          <w:tcPr>
            <w:tcW w:w="2245" w:type="dxa"/>
          </w:tcPr>
          <w:p w:rsidR="004736CD" w:rsidRDefault="004736CD" w:rsidP="00DB5420">
            <w:pPr>
              <w:jc w:val="both"/>
              <w:rPr>
                <w:sz w:val="24"/>
                <w:szCs w:val="24"/>
              </w:rPr>
            </w:pPr>
            <w:r>
              <w:rPr>
                <w:sz w:val="24"/>
                <w:szCs w:val="24"/>
              </w:rPr>
              <w:t>4</w:t>
            </w:r>
          </w:p>
        </w:tc>
        <w:tc>
          <w:tcPr>
            <w:tcW w:w="2546" w:type="dxa"/>
          </w:tcPr>
          <w:p w:rsidR="004736CD" w:rsidRDefault="004736CD" w:rsidP="00DB5420">
            <w:pPr>
              <w:jc w:val="both"/>
              <w:rPr>
                <w:sz w:val="24"/>
                <w:szCs w:val="24"/>
              </w:rPr>
            </w:pPr>
            <w:r>
              <w:rPr>
                <w:sz w:val="24"/>
                <w:szCs w:val="24"/>
              </w:rPr>
              <w:t>$25,750</w:t>
            </w:r>
          </w:p>
        </w:tc>
        <w:tc>
          <w:tcPr>
            <w:tcW w:w="2442" w:type="dxa"/>
          </w:tcPr>
          <w:p w:rsidR="004736CD" w:rsidRDefault="004736CD" w:rsidP="00DB5420">
            <w:pPr>
              <w:jc w:val="both"/>
              <w:rPr>
                <w:sz w:val="24"/>
                <w:szCs w:val="24"/>
              </w:rPr>
            </w:pPr>
            <w:r>
              <w:rPr>
                <w:sz w:val="24"/>
                <w:szCs w:val="24"/>
              </w:rPr>
              <w:t>$51,500</w:t>
            </w:r>
          </w:p>
        </w:tc>
        <w:tc>
          <w:tcPr>
            <w:tcW w:w="2117" w:type="dxa"/>
          </w:tcPr>
          <w:p w:rsidR="004736CD" w:rsidRDefault="004736CD" w:rsidP="00DB5420">
            <w:pPr>
              <w:jc w:val="both"/>
              <w:rPr>
                <w:sz w:val="24"/>
                <w:szCs w:val="24"/>
              </w:rPr>
            </w:pPr>
            <w:r>
              <w:rPr>
                <w:sz w:val="24"/>
                <w:szCs w:val="24"/>
              </w:rPr>
              <w:t>$24.76</w:t>
            </w:r>
          </w:p>
        </w:tc>
      </w:tr>
      <w:tr w:rsidR="004736CD" w:rsidTr="00DB5420">
        <w:tc>
          <w:tcPr>
            <w:tcW w:w="2245" w:type="dxa"/>
          </w:tcPr>
          <w:p w:rsidR="004736CD" w:rsidRDefault="004736CD" w:rsidP="00DB5420">
            <w:pPr>
              <w:jc w:val="both"/>
              <w:rPr>
                <w:sz w:val="24"/>
                <w:szCs w:val="24"/>
              </w:rPr>
            </w:pPr>
            <w:r>
              <w:rPr>
                <w:sz w:val="24"/>
                <w:szCs w:val="24"/>
              </w:rPr>
              <w:t>5</w:t>
            </w:r>
          </w:p>
        </w:tc>
        <w:tc>
          <w:tcPr>
            <w:tcW w:w="2546" w:type="dxa"/>
          </w:tcPr>
          <w:p w:rsidR="004736CD" w:rsidRDefault="004736CD" w:rsidP="00DB5420">
            <w:pPr>
              <w:jc w:val="both"/>
              <w:rPr>
                <w:sz w:val="24"/>
                <w:szCs w:val="24"/>
              </w:rPr>
            </w:pPr>
            <w:r>
              <w:rPr>
                <w:sz w:val="24"/>
                <w:szCs w:val="24"/>
              </w:rPr>
              <w:t>$30,170</w:t>
            </w:r>
          </w:p>
        </w:tc>
        <w:tc>
          <w:tcPr>
            <w:tcW w:w="2442" w:type="dxa"/>
          </w:tcPr>
          <w:p w:rsidR="004736CD" w:rsidRDefault="004736CD" w:rsidP="00DB5420">
            <w:pPr>
              <w:jc w:val="both"/>
              <w:rPr>
                <w:sz w:val="24"/>
                <w:szCs w:val="24"/>
              </w:rPr>
            </w:pPr>
            <w:r>
              <w:rPr>
                <w:sz w:val="24"/>
                <w:szCs w:val="24"/>
              </w:rPr>
              <w:t>$60,340</w:t>
            </w:r>
          </w:p>
        </w:tc>
        <w:tc>
          <w:tcPr>
            <w:tcW w:w="2117" w:type="dxa"/>
          </w:tcPr>
          <w:p w:rsidR="004736CD" w:rsidRDefault="004736CD" w:rsidP="00DB5420">
            <w:pPr>
              <w:jc w:val="both"/>
              <w:rPr>
                <w:sz w:val="24"/>
                <w:szCs w:val="24"/>
              </w:rPr>
            </w:pPr>
            <w:r>
              <w:rPr>
                <w:sz w:val="24"/>
                <w:szCs w:val="24"/>
              </w:rPr>
              <w:t>$29.00</w:t>
            </w:r>
          </w:p>
        </w:tc>
      </w:tr>
      <w:tr w:rsidR="004736CD" w:rsidTr="00DB5420">
        <w:tc>
          <w:tcPr>
            <w:tcW w:w="2245" w:type="dxa"/>
          </w:tcPr>
          <w:p w:rsidR="004736CD" w:rsidRDefault="004736CD" w:rsidP="00DB5420">
            <w:pPr>
              <w:jc w:val="both"/>
              <w:rPr>
                <w:sz w:val="24"/>
                <w:szCs w:val="24"/>
              </w:rPr>
            </w:pPr>
            <w:r>
              <w:rPr>
                <w:sz w:val="24"/>
                <w:szCs w:val="24"/>
              </w:rPr>
              <w:t>6</w:t>
            </w:r>
          </w:p>
        </w:tc>
        <w:tc>
          <w:tcPr>
            <w:tcW w:w="2546" w:type="dxa"/>
          </w:tcPr>
          <w:p w:rsidR="004736CD" w:rsidRDefault="004736CD" w:rsidP="00DB5420">
            <w:pPr>
              <w:jc w:val="both"/>
              <w:rPr>
                <w:sz w:val="24"/>
                <w:szCs w:val="24"/>
              </w:rPr>
            </w:pPr>
            <w:r>
              <w:rPr>
                <w:sz w:val="24"/>
                <w:szCs w:val="24"/>
              </w:rPr>
              <w:t>$34,590</w:t>
            </w:r>
          </w:p>
        </w:tc>
        <w:tc>
          <w:tcPr>
            <w:tcW w:w="2442" w:type="dxa"/>
          </w:tcPr>
          <w:p w:rsidR="004736CD" w:rsidRDefault="004736CD" w:rsidP="00DB5420">
            <w:pPr>
              <w:jc w:val="both"/>
              <w:rPr>
                <w:sz w:val="24"/>
                <w:szCs w:val="24"/>
              </w:rPr>
            </w:pPr>
            <w:r>
              <w:rPr>
                <w:sz w:val="24"/>
                <w:szCs w:val="24"/>
              </w:rPr>
              <w:t>$69,180</w:t>
            </w:r>
          </w:p>
        </w:tc>
        <w:tc>
          <w:tcPr>
            <w:tcW w:w="2117" w:type="dxa"/>
          </w:tcPr>
          <w:p w:rsidR="004736CD" w:rsidRDefault="004736CD" w:rsidP="00DB5420">
            <w:pPr>
              <w:jc w:val="both"/>
              <w:rPr>
                <w:sz w:val="24"/>
                <w:szCs w:val="24"/>
              </w:rPr>
            </w:pPr>
            <w:r>
              <w:rPr>
                <w:sz w:val="24"/>
                <w:szCs w:val="24"/>
              </w:rPr>
              <w:t>$33.26</w:t>
            </w:r>
          </w:p>
        </w:tc>
      </w:tr>
      <w:tr w:rsidR="004736CD" w:rsidTr="00DB5420">
        <w:tc>
          <w:tcPr>
            <w:tcW w:w="2245" w:type="dxa"/>
          </w:tcPr>
          <w:p w:rsidR="004736CD" w:rsidRDefault="004736CD" w:rsidP="00DB5420">
            <w:pPr>
              <w:jc w:val="both"/>
              <w:rPr>
                <w:sz w:val="24"/>
                <w:szCs w:val="24"/>
              </w:rPr>
            </w:pPr>
            <w:r>
              <w:rPr>
                <w:sz w:val="24"/>
                <w:szCs w:val="24"/>
              </w:rPr>
              <w:t>7</w:t>
            </w:r>
          </w:p>
        </w:tc>
        <w:tc>
          <w:tcPr>
            <w:tcW w:w="2546" w:type="dxa"/>
          </w:tcPr>
          <w:p w:rsidR="004736CD" w:rsidRDefault="004736CD" w:rsidP="00DB5420">
            <w:pPr>
              <w:jc w:val="both"/>
              <w:rPr>
                <w:sz w:val="24"/>
                <w:szCs w:val="24"/>
              </w:rPr>
            </w:pPr>
            <w:r>
              <w:rPr>
                <w:sz w:val="24"/>
                <w:szCs w:val="24"/>
              </w:rPr>
              <w:t>$39,010</w:t>
            </w:r>
          </w:p>
        </w:tc>
        <w:tc>
          <w:tcPr>
            <w:tcW w:w="2442" w:type="dxa"/>
          </w:tcPr>
          <w:p w:rsidR="004736CD" w:rsidRDefault="004736CD" w:rsidP="00DB5420">
            <w:pPr>
              <w:jc w:val="both"/>
              <w:rPr>
                <w:sz w:val="24"/>
                <w:szCs w:val="24"/>
              </w:rPr>
            </w:pPr>
            <w:r>
              <w:rPr>
                <w:sz w:val="24"/>
                <w:szCs w:val="24"/>
              </w:rPr>
              <w:t>$78,020</w:t>
            </w:r>
          </w:p>
        </w:tc>
        <w:tc>
          <w:tcPr>
            <w:tcW w:w="2117" w:type="dxa"/>
          </w:tcPr>
          <w:p w:rsidR="004736CD" w:rsidRDefault="004736CD" w:rsidP="00DB5420">
            <w:pPr>
              <w:jc w:val="both"/>
              <w:rPr>
                <w:sz w:val="24"/>
                <w:szCs w:val="24"/>
              </w:rPr>
            </w:pPr>
            <w:r>
              <w:rPr>
                <w:sz w:val="24"/>
                <w:szCs w:val="24"/>
              </w:rPr>
              <w:t>$37.51</w:t>
            </w:r>
          </w:p>
        </w:tc>
      </w:tr>
      <w:tr w:rsidR="004736CD" w:rsidTr="00DB5420">
        <w:tc>
          <w:tcPr>
            <w:tcW w:w="2245" w:type="dxa"/>
          </w:tcPr>
          <w:p w:rsidR="004736CD" w:rsidRDefault="004736CD" w:rsidP="00DB5420">
            <w:pPr>
              <w:jc w:val="both"/>
              <w:rPr>
                <w:sz w:val="24"/>
                <w:szCs w:val="24"/>
              </w:rPr>
            </w:pPr>
            <w:r>
              <w:rPr>
                <w:sz w:val="24"/>
                <w:szCs w:val="24"/>
              </w:rPr>
              <w:t>8</w:t>
            </w:r>
          </w:p>
        </w:tc>
        <w:tc>
          <w:tcPr>
            <w:tcW w:w="2546" w:type="dxa"/>
          </w:tcPr>
          <w:p w:rsidR="004736CD" w:rsidRDefault="004736CD" w:rsidP="00DB5420">
            <w:pPr>
              <w:jc w:val="both"/>
              <w:rPr>
                <w:sz w:val="24"/>
                <w:szCs w:val="24"/>
              </w:rPr>
            </w:pPr>
            <w:r>
              <w:rPr>
                <w:sz w:val="24"/>
                <w:szCs w:val="24"/>
              </w:rPr>
              <w:t>$43,430</w:t>
            </w:r>
          </w:p>
        </w:tc>
        <w:tc>
          <w:tcPr>
            <w:tcW w:w="2442" w:type="dxa"/>
          </w:tcPr>
          <w:p w:rsidR="004736CD" w:rsidRDefault="004736CD" w:rsidP="00DB5420">
            <w:pPr>
              <w:jc w:val="both"/>
              <w:rPr>
                <w:sz w:val="24"/>
                <w:szCs w:val="24"/>
              </w:rPr>
            </w:pPr>
            <w:r>
              <w:rPr>
                <w:sz w:val="24"/>
                <w:szCs w:val="24"/>
              </w:rPr>
              <w:t>$86,860</w:t>
            </w:r>
          </w:p>
        </w:tc>
        <w:tc>
          <w:tcPr>
            <w:tcW w:w="2117" w:type="dxa"/>
          </w:tcPr>
          <w:p w:rsidR="004736CD" w:rsidRDefault="004736CD" w:rsidP="00DB5420">
            <w:pPr>
              <w:jc w:val="both"/>
              <w:rPr>
                <w:sz w:val="24"/>
                <w:szCs w:val="24"/>
              </w:rPr>
            </w:pPr>
            <w:r>
              <w:rPr>
                <w:sz w:val="24"/>
                <w:szCs w:val="24"/>
              </w:rPr>
              <w:t>$41.76</w:t>
            </w:r>
          </w:p>
        </w:tc>
      </w:tr>
    </w:tbl>
    <w:p w:rsidR="004B57EC" w:rsidRPr="004B57EC" w:rsidRDefault="004B57EC" w:rsidP="004B57EC">
      <w:pPr>
        <w:spacing w:after="0" w:line="240" w:lineRule="auto"/>
        <w:jc w:val="both"/>
        <w:rPr>
          <w:rFonts w:eastAsia="Times New Roman" w:cs="Times New Roman"/>
        </w:rPr>
      </w:pPr>
      <w:r w:rsidRPr="004B57EC">
        <w:rPr>
          <w:rFonts w:eastAsia="Times New Roman" w:cs="Times New Roman"/>
        </w:rPr>
        <w:t>For families with more than eight person, add $4,420 for each additional person to the 2019 Poverty Guideline column.</w:t>
      </w:r>
    </w:p>
    <w:p w:rsidR="004736CD" w:rsidRPr="00F02EAF" w:rsidRDefault="004736CD" w:rsidP="00F02EAF">
      <w:pPr>
        <w:spacing w:after="0" w:line="240" w:lineRule="auto"/>
        <w:jc w:val="both"/>
        <w:rPr>
          <w:rFonts w:eastAsia="Times New Roman" w:cs="Times New Roman"/>
          <w:sz w:val="24"/>
          <w:szCs w:val="24"/>
        </w:rPr>
      </w:pPr>
    </w:p>
    <w:sectPr w:rsidR="004736CD" w:rsidRPr="00F02E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FA8" w:rsidRDefault="00194FA8" w:rsidP="00E54BD1">
      <w:pPr>
        <w:spacing w:after="0" w:line="240" w:lineRule="auto"/>
      </w:pPr>
      <w:r>
        <w:separator/>
      </w:r>
    </w:p>
  </w:endnote>
  <w:endnote w:type="continuationSeparator" w:id="0">
    <w:p w:rsidR="00194FA8" w:rsidRDefault="00194FA8" w:rsidP="00E5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Bol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650107"/>
      <w:docPartObj>
        <w:docPartGallery w:val="Page Numbers (Bottom of Page)"/>
        <w:docPartUnique/>
      </w:docPartObj>
    </w:sdtPr>
    <w:sdtEndPr/>
    <w:sdtContent>
      <w:sdt>
        <w:sdtPr>
          <w:id w:val="-1769616900"/>
          <w:docPartObj>
            <w:docPartGallery w:val="Page Numbers (Top of Page)"/>
            <w:docPartUnique/>
          </w:docPartObj>
        </w:sdtPr>
        <w:sdtEndPr/>
        <w:sdtContent>
          <w:p w:rsidR="009D2F91" w:rsidRDefault="009D2F91">
            <w:pPr>
              <w:pStyle w:val="Footer"/>
              <w:jc w:val="right"/>
            </w:pPr>
            <w:r w:rsidRPr="009D2F91">
              <w:rPr>
                <w:sz w:val="20"/>
                <w:szCs w:val="20"/>
              </w:rPr>
              <w:t xml:space="preserve">Page </w:t>
            </w:r>
            <w:r w:rsidRPr="009D2F91">
              <w:rPr>
                <w:b/>
                <w:bCs/>
                <w:sz w:val="20"/>
                <w:szCs w:val="20"/>
              </w:rPr>
              <w:fldChar w:fldCharType="begin"/>
            </w:r>
            <w:r w:rsidRPr="009D2F91">
              <w:rPr>
                <w:b/>
                <w:bCs/>
                <w:sz w:val="20"/>
                <w:szCs w:val="20"/>
              </w:rPr>
              <w:instrText xml:space="preserve"> PAGE </w:instrText>
            </w:r>
            <w:r w:rsidRPr="009D2F91">
              <w:rPr>
                <w:b/>
                <w:bCs/>
                <w:sz w:val="20"/>
                <w:szCs w:val="20"/>
              </w:rPr>
              <w:fldChar w:fldCharType="separate"/>
            </w:r>
            <w:r w:rsidR="00EB6E5D">
              <w:rPr>
                <w:b/>
                <w:bCs/>
                <w:noProof/>
                <w:sz w:val="20"/>
                <w:szCs w:val="20"/>
              </w:rPr>
              <w:t>4</w:t>
            </w:r>
            <w:r w:rsidRPr="009D2F91">
              <w:rPr>
                <w:b/>
                <w:bCs/>
                <w:sz w:val="20"/>
                <w:szCs w:val="20"/>
              </w:rPr>
              <w:fldChar w:fldCharType="end"/>
            </w:r>
            <w:r w:rsidRPr="009D2F91">
              <w:rPr>
                <w:sz w:val="20"/>
                <w:szCs w:val="20"/>
              </w:rPr>
              <w:t xml:space="preserve"> of </w:t>
            </w:r>
            <w:r w:rsidRPr="009D2F91">
              <w:rPr>
                <w:b/>
                <w:bCs/>
                <w:sz w:val="20"/>
                <w:szCs w:val="20"/>
              </w:rPr>
              <w:fldChar w:fldCharType="begin"/>
            </w:r>
            <w:r w:rsidRPr="009D2F91">
              <w:rPr>
                <w:b/>
                <w:bCs/>
                <w:sz w:val="20"/>
                <w:szCs w:val="20"/>
              </w:rPr>
              <w:instrText xml:space="preserve"> NUMPAGES  </w:instrText>
            </w:r>
            <w:r w:rsidRPr="009D2F91">
              <w:rPr>
                <w:b/>
                <w:bCs/>
                <w:sz w:val="20"/>
                <w:szCs w:val="20"/>
              </w:rPr>
              <w:fldChar w:fldCharType="separate"/>
            </w:r>
            <w:r w:rsidR="00EB6E5D">
              <w:rPr>
                <w:b/>
                <w:bCs/>
                <w:noProof/>
                <w:sz w:val="20"/>
                <w:szCs w:val="20"/>
              </w:rPr>
              <w:t>5</w:t>
            </w:r>
            <w:r w:rsidRPr="009D2F91">
              <w:rPr>
                <w:b/>
                <w:bCs/>
                <w:sz w:val="20"/>
                <w:szCs w:val="20"/>
              </w:rPr>
              <w:fldChar w:fldCharType="end"/>
            </w:r>
          </w:p>
        </w:sdtContent>
      </w:sdt>
    </w:sdtContent>
  </w:sdt>
  <w:p w:rsidR="009D2F91" w:rsidRDefault="00657831">
    <w:pPr>
      <w:pStyle w:val="Footer"/>
    </w:pPr>
    <w:r>
      <w:rPr>
        <w:noProof/>
        <w:color w:val="1F497D"/>
      </w:rPr>
      <w:drawing>
        <wp:anchor distT="0" distB="0" distL="114300" distR="114300" simplePos="0" relativeHeight="251661312" behindDoc="1" locked="0" layoutInCell="1" allowOverlap="1" wp14:anchorId="109431BA" wp14:editId="20445D80">
          <wp:simplePos x="0" y="0"/>
          <wp:positionH relativeFrom="margin">
            <wp:posOffset>0</wp:posOffset>
          </wp:positionH>
          <wp:positionV relativeFrom="paragraph">
            <wp:posOffset>0</wp:posOffset>
          </wp:positionV>
          <wp:extent cx="3724275" cy="228600"/>
          <wp:effectExtent l="0" t="0" r="9525" b="0"/>
          <wp:wrapNone/>
          <wp:docPr id="3" name="Picture 3" descr="AJC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C Tagli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24275" cy="2286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FA8" w:rsidRDefault="00194FA8" w:rsidP="00E54BD1">
      <w:pPr>
        <w:spacing w:after="0" w:line="240" w:lineRule="auto"/>
      </w:pPr>
      <w:r>
        <w:separator/>
      </w:r>
    </w:p>
  </w:footnote>
  <w:footnote w:type="continuationSeparator" w:id="0">
    <w:p w:rsidR="00194FA8" w:rsidRDefault="00194FA8" w:rsidP="00E54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BD1" w:rsidRDefault="00E81451">
    <w:pPr>
      <w:pStyle w:val="Header"/>
    </w:pPr>
    <w:r w:rsidRPr="00864E12">
      <w:rPr>
        <w:rFonts w:ascii="Arial" w:hAnsi="Arial" w:cs="Arial"/>
        <w:noProof/>
        <w:sz w:val="24"/>
      </w:rPr>
      <w:drawing>
        <wp:anchor distT="0" distB="0" distL="114300" distR="114300" simplePos="0" relativeHeight="251659264" behindDoc="1" locked="0" layoutInCell="1" allowOverlap="1" wp14:anchorId="64A4D373" wp14:editId="2250CB4E">
          <wp:simplePos x="0" y="0"/>
          <wp:positionH relativeFrom="margin">
            <wp:align>center</wp:align>
          </wp:positionH>
          <wp:positionV relativeFrom="paragraph">
            <wp:posOffset>-457200</wp:posOffset>
          </wp:positionV>
          <wp:extent cx="5319227" cy="127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ployment and Training\WIA Greater Nebraska\Letterhead\Greater Nebraska WDB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19227" cy="1276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4BD1" w:rsidRPr="00E54BD1" w:rsidRDefault="00E54BD1" w:rsidP="00E54BD1">
    <w:pPr>
      <w:pStyle w:val="Header"/>
      <w:ind w:right="-18"/>
      <w:rPr>
        <w:rFonts w:cs="Arial"/>
        <w:b/>
      </w:rPr>
    </w:pPr>
    <w:r w:rsidRPr="00E54BD1">
      <w:rPr>
        <w:rFonts w:cs="Arial"/>
        <w:b/>
      </w:rPr>
      <w:tab/>
      <w:t xml:space="preserve">                                       </w:t>
    </w:r>
  </w:p>
  <w:p w:rsidR="00E81451" w:rsidRPr="0051088F" w:rsidRDefault="00E81451" w:rsidP="00E81451">
    <w:pPr>
      <w:pStyle w:val="Header"/>
      <w:jc w:val="right"/>
      <w:rPr>
        <w:rFonts w:ascii="Arial" w:hAnsi="Arial" w:cs="Arial"/>
        <w:b/>
        <w:sz w:val="14"/>
        <w:szCs w:val="14"/>
      </w:rPr>
    </w:pPr>
    <w:r w:rsidRPr="0051088F">
      <w:rPr>
        <w:rFonts w:ascii="Arial" w:hAnsi="Arial" w:cs="Arial"/>
        <w:b/>
        <w:sz w:val="14"/>
        <w:szCs w:val="14"/>
      </w:rPr>
      <w:t>Lisa Wilson</w:t>
    </w:r>
    <w:r w:rsidRPr="0051088F">
      <w:rPr>
        <w:rFonts w:ascii="Arial" w:hAnsi="Arial" w:cs="Arial"/>
        <w:b/>
        <w:sz w:val="14"/>
        <w:szCs w:val="14"/>
      </w:rPr>
      <w:tab/>
    </w:r>
    <w:r w:rsidRPr="0051088F">
      <w:rPr>
        <w:rFonts w:ascii="Arial" w:hAnsi="Arial" w:cs="Arial"/>
        <w:b/>
        <w:sz w:val="14"/>
        <w:szCs w:val="14"/>
      </w:rPr>
      <w:tab/>
    </w:r>
    <w:r w:rsidRPr="0051088F">
      <w:rPr>
        <w:rFonts w:ascii="Arial" w:hAnsi="Arial" w:cs="Arial"/>
        <w:sz w:val="14"/>
        <w:szCs w:val="14"/>
      </w:rPr>
      <w:t xml:space="preserve">  </w:t>
    </w:r>
    <w:r w:rsidRPr="0051088F">
      <w:rPr>
        <w:rFonts w:ascii="Arial" w:hAnsi="Arial" w:cs="Arial"/>
        <w:b/>
        <w:sz w:val="14"/>
        <w:szCs w:val="14"/>
      </w:rPr>
      <w:t xml:space="preserve">  Pamela Lancaster                                                                                                                                     Chair </w:t>
    </w:r>
    <w:r w:rsidRPr="0051088F">
      <w:rPr>
        <w:rFonts w:ascii="Arial" w:hAnsi="Arial" w:cs="Arial"/>
        <w:b/>
        <w:sz w:val="14"/>
        <w:szCs w:val="14"/>
      </w:rPr>
      <w:tab/>
    </w:r>
    <w:r w:rsidRPr="0051088F">
      <w:rPr>
        <w:rFonts w:ascii="Arial" w:hAnsi="Arial" w:cs="Arial"/>
        <w:b/>
        <w:sz w:val="14"/>
        <w:szCs w:val="14"/>
      </w:rPr>
      <w:tab/>
      <w:t>CEOB Chair</w:t>
    </w:r>
    <w:r w:rsidRPr="0051088F">
      <w:rPr>
        <w:rFonts w:ascii="Arial" w:hAnsi="Arial" w:cs="Arial"/>
        <w:sz w:val="14"/>
        <w:szCs w:val="14"/>
      </w:rPr>
      <w:t xml:space="preserve"> </w:t>
    </w:r>
  </w:p>
  <w:p w:rsidR="00685C25" w:rsidRDefault="00685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D95"/>
    <w:multiLevelType w:val="hybridMultilevel"/>
    <w:tmpl w:val="1F008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A12B7"/>
    <w:multiLevelType w:val="hybridMultilevel"/>
    <w:tmpl w:val="34702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044220"/>
    <w:multiLevelType w:val="hybridMultilevel"/>
    <w:tmpl w:val="DEEC8878"/>
    <w:lvl w:ilvl="0" w:tplc="01904E78">
      <w:start w:val="3"/>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047691"/>
    <w:multiLevelType w:val="hybridMultilevel"/>
    <w:tmpl w:val="D67CD4A0"/>
    <w:lvl w:ilvl="0" w:tplc="01904E7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F53F8"/>
    <w:multiLevelType w:val="hybridMultilevel"/>
    <w:tmpl w:val="0B9CBFF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0D22A5"/>
    <w:multiLevelType w:val="hybridMultilevel"/>
    <w:tmpl w:val="8FA29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07CF0"/>
    <w:multiLevelType w:val="hybridMultilevel"/>
    <w:tmpl w:val="47AC2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AF79CC"/>
    <w:multiLevelType w:val="hybridMultilevel"/>
    <w:tmpl w:val="A7E800DE"/>
    <w:lvl w:ilvl="0" w:tplc="01904E78">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B7536F"/>
    <w:multiLevelType w:val="hybridMultilevel"/>
    <w:tmpl w:val="BDBA4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762245"/>
    <w:multiLevelType w:val="hybridMultilevel"/>
    <w:tmpl w:val="C9FA1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96945"/>
    <w:multiLevelType w:val="hybridMultilevel"/>
    <w:tmpl w:val="45EE3D70"/>
    <w:lvl w:ilvl="0" w:tplc="2F461028">
      <w:start w:val="3"/>
      <w:numFmt w:val="bullet"/>
      <w:lvlText w:val="•"/>
      <w:lvlJc w:val="left"/>
      <w:pPr>
        <w:ind w:left="720" w:hanging="360"/>
      </w:pPr>
      <w:rPr>
        <w:rFonts w:ascii="Times New Roman" w:eastAsiaTheme="minorHAnsi" w:hAnsi="Times New Roman" w:cs="Times New Roman" w:hint="default"/>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E357AC"/>
    <w:multiLevelType w:val="hybridMultilevel"/>
    <w:tmpl w:val="4B8E07F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BC682C"/>
    <w:multiLevelType w:val="hybridMultilevel"/>
    <w:tmpl w:val="52120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0"/>
  </w:num>
  <w:num w:numId="4">
    <w:abstractNumId w:val="2"/>
  </w:num>
  <w:num w:numId="5">
    <w:abstractNumId w:val="3"/>
  </w:num>
  <w:num w:numId="6">
    <w:abstractNumId w:val="7"/>
  </w:num>
  <w:num w:numId="7">
    <w:abstractNumId w:val="10"/>
  </w:num>
  <w:num w:numId="8">
    <w:abstractNumId w:val="9"/>
  </w:num>
  <w:num w:numId="9">
    <w:abstractNumId w:val="8"/>
  </w:num>
  <w:num w:numId="10">
    <w:abstractNumId w:val="5"/>
  </w:num>
  <w:num w:numId="11">
    <w:abstractNumId w:val="1"/>
  </w:num>
  <w:num w:numId="12">
    <w:abstractNumId w:val="12"/>
  </w:num>
  <w:num w:numId="13">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1"/>
    <w:rsid w:val="0000133C"/>
    <w:rsid w:val="00003CFD"/>
    <w:rsid w:val="00022F04"/>
    <w:rsid w:val="000260C6"/>
    <w:rsid w:val="000275A0"/>
    <w:rsid w:val="00042EC3"/>
    <w:rsid w:val="000433EE"/>
    <w:rsid w:val="00045ECF"/>
    <w:rsid w:val="00055320"/>
    <w:rsid w:val="00090C74"/>
    <w:rsid w:val="000969A3"/>
    <w:rsid w:val="000A441A"/>
    <w:rsid w:val="000C4C60"/>
    <w:rsid w:val="000C50CE"/>
    <w:rsid w:val="000C6D9D"/>
    <w:rsid w:val="000D04C8"/>
    <w:rsid w:val="000D52AC"/>
    <w:rsid w:val="000D7E34"/>
    <w:rsid w:val="000E1E6A"/>
    <w:rsid w:val="000F2A2C"/>
    <w:rsid w:val="001056AC"/>
    <w:rsid w:val="00106339"/>
    <w:rsid w:val="001071AC"/>
    <w:rsid w:val="00113843"/>
    <w:rsid w:val="001215D7"/>
    <w:rsid w:val="00123E96"/>
    <w:rsid w:val="00125C1A"/>
    <w:rsid w:val="00131C86"/>
    <w:rsid w:val="0014186A"/>
    <w:rsid w:val="00143EAC"/>
    <w:rsid w:val="001511F9"/>
    <w:rsid w:val="00152304"/>
    <w:rsid w:val="001623C7"/>
    <w:rsid w:val="00163DD9"/>
    <w:rsid w:val="001657D1"/>
    <w:rsid w:val="00174B23"/>
    <w:rsid w:val="001812AD"/>
    <w:rsid w:val="00182598"/>
    <w:rsid w:val="00183C71"/>
    <w:rsid w:val="0018509E"/>
    <w:rsid w:val="001936C4"/>
    <w:rsid w:val="00194FA8"/>
    <w:rsid w:val="001A19DD"/>
    <w:rsid w:val="001A28B9"/>
    <w:rsid w:val="001A6CBC"/>
    <w:rsid w:val="001B60C8"/>
    <w:rsid w:val="001D1593"/>
    <w:rsid w:val="001D3520"/>
    <w:rsid w:val="001D3870"/>
    <w:rsid w:val="00200030"/>
    <w:rsid w:val="00200599"/>
    <w:rsid w:val="0020421D"/>
    <w:rsid w:val="002118AE"/>
    <w:rsid w:val="00220195"/>
    <w:rsid w:val="0022055B"/>
    <w:rsid w:val="00221827"/>
    <w:rsid w:val="002220B2"/>
    <w:rsid w:val="00234311"/>
    <w:rsid w:val="00237419"/>
    <w:rsid w:val="002410E8"/>
    <w:rsid w:val="002470A1"/>
    <w:rsid w:val="00262D07"/>
    <w:rsid w:val="00271DC0"/>
    <w:rsid w:val="00274E9E"/>
    <w:rsid w:val="0029379B"/>
    <w:rsid w:val="00295D98"/>
    <w:rsid w:val="002B3924"/>
    <w:rsid w:val="002D3927"/>
    <w:rsid w:val="002E0DC3"/>
    <w:rsid w:val="00310155"/>
    <w:rsid w:val="003226CB"/>
    <w:rsid w:val="0033787D"/>
    <w:rsid w:val="00344914"/>
    <w:rsid w:val="003524CC"/>
    <w:rsid w:val="0039572C"/>
    <w:rsid w:val="003B0DB5"/>
    <w:rsid w:val="003B3F46"/>
    <w:rsid w:val="003B7519"/>
    <w:rsid w:val="003C1017"/>
    <w:rsid w:val="003C7F56"/>
    <w:rsid w:val="003D630C"/>
    <w:rsid w:val="003E50C5"/>
    <w:rsid w:val="003F7BE6"/>
    <w:rsid w:val="00401BDD"/>
    <w:rsid w:val="00401EEB"/>
    <w:rsid w:val="00403E23"/>
    <w:rsid w:val="00403ED0"/>
    <w:rsid w:val="00406EB8"/>
    <w:rsid w:val="00407FFC"/>
    <w:rsid w:val="004140CB"/>
    <w:rsid w:val="00414652"/>
    <w:rsid w:val="004201F7"/>
    <w:rsid w:val="00423E51"/>
    <w:rsid w:val="00426FC8"/>
    <w:rsid w:val="00432E90"/>
    <w:rsid w:val="00432EA0"/>
    <w:rsid w:val="004340F2"/>
    <w:rsid w:val="00445104"/>
    <w:rsid w:val="00453D9C"/>
    <w:rsid w:val="00457EDB"/>
    <w:rsid w:val="004722C1"/>
    <w:rsid w:val="004736CD"/>
    <w:rsid w:val="0047397B"/>
    <w:rsid w:val="004761E2"/>
    <w:rsid w:val="0047636F"/>
    <w:rsid w:val="00483896"/>
    <w:rsid w:val="004924F6"/>
    <w:rsid w:val="004A17AF"/>
    <w:rsid w:val="004B45DA"/>
    <w:rsid w:val="004B57EC"/>
    <w:rsid w:val="004C3629"/>
    <w:rsid w:val="004E6503"/>
    <w:rsid w:val="004E704B"/>
    <w:rsid w:val="00505BA9"/>
    <w:rsid w:val="00507A57"/>
    <w:rsid w:val="00512389"/>
    <w:rsid w:val="00531B7A"/>
    <w:rsid w:val="005361EC"/>
    <w:rsid w:val="00540A99"/>
    <w:rsid w:val="00541A45"/>
    <w:rsid w:val="00566758"/>
    <w:rsid w:val="005861A0"/>
    <w:rsid w:val="005A2592"/>
    <w:rsid w:val="005B075B"/>
    <w:rsid w:val="005B0793"/>
    <w:rsid w:val="005B3B52"/>
    <w:rsid w:val="005D78CD"/>
    <w:rsid w:val="005E482B"/>
    <w:rsid w:val="005E5B0E"/>
    <w:rsid w:val="005F0C16"/>
    <w:rsid w:val="005F379F"/>
    <w:rsid w:val="00616B4D"/>
    <w:rsid w:val="00624FF3"/>
    <w:rsid w:val="00637BCF"/>
    <w:rsid w:val="006502DF"/>
    <w:rsid w:val="00654DF4"/>
    <w:rsid w:val="00657831"/>
    <w:rsid w:val="00667401"/>
    <w:rsid w:val="00667A83"/>
    <w:rsid w:val="006706FA"/>
    <w:rsid w:val="00673781"/>
    <w:rsid w:val="00674612"/>
    <w:rsid w:val="0068193D"/>
    <w:rsid w:val="00685C25"/>
    <w:rsid w:val="006A0640"/>
    <w:rsid w:val="006A45A1"/>
    <w:rsid w:val="006A58B1"/>
    <w:rsid w:val="006B469B"/>
    <w:rsid w:val="006B55DB"/>
    <w:rsid w:val="006C3F79"/>
    <w:rsid w:val="006C47B6"/>
    <w:rsid w:val="006C784E"/>
    <w:rsid w:val="006E6722"/>
    <w:rsid w:val="006E692B"/>
    <w:rsid w:val="006F2509"/>
    <w:rsid w:val="00723BC7"/>
    <w:rsid w:val="00734745"/>
    <w:rsid w:val="00735649"/>
    <w:rsid w:val="0073736B"/>
    <w:rsid w:val="007402F4"/>
    <w:rsid w:val="00747AA2"/>
    <w:rsid w:val="00750CEC"/>
    <w:rsid w:val="00755483"/>
    <w:rsid w:val="007634C3"/>
    <w:rsid w:val="00765B53"/>
    <w:rsid w:val="007737BB"/>
    <w:rsid w:val="007746C0"/>
    <w:rsid w:val="00793945"/>
    <w:rsid w:val="00795D88"/>
    <w:rsid w:val="007A6585"/>
    <w:rsid w:val="007B3CD3"/>
    <w:rsid w:val="007B45E5"/>
    <w:rsid w:val="007B55CB"/>
    <w:rsid w:val="007C7404"/>
    <w:rsid w:val="007C7628"/>
    <w:rsid w:val="007C7EAE"/>
    <w:rsid w:val="007D4808"/>
    <w:rsid w:val="007D6F57"/>
    <w:rsid w:val="007E1897"/>
    <w:rsid w:val="007E3FA4"/>
    <w:rsid w:val="007F1B37"/>
    <w:rsid w:val="0080664C"/>
    <w:rsid w:val="0082622F"/>
    <w:rsid w:val="00834E84"/>
    <w:rsid w:val="00847C44"/>
    <w:rsid w:val="008606DF"/>
    <w:rsid w:val="00861EDF"/>
    <w:rsid w:val="00865F3E"/>
    <w:rsid w:val="0086649A"/>
    <w:rsid w:val="00867CBA"/>
    <w:rsid w:val="008747BA"/>
    <w:rsid w:val="0087498C"/>
    <w:rsid w:val="00881216"/>
    <w:rsid w:val="008842CF"/>
    <w:rsid w:val="008A07A0"/>
    <w:rsid w:val="008C571B"/>
    <w:rsid w:val="008F7CD4"/>
    <w:rsid w:val="0090389B"/>
    <w:rsid w:val="00906915"/>
    <w:rsid w:val="0091211B"/>
    <w:rsid w:val="009206B3"/>
    <w:rsid w:val="00922337"/>
    <w:rsid w:val="009231B2"/>
    <w:rsid w:val="00927A7C"/>
    <w:rsid w:val="00950202"/>
    <w:rsid w:val="0095221A"/>
    <w:rsid w:val="00953C27"/>
    <w:rsid w:val="0095662E"/>
    <w:rsid w:val="0098020E"/>
    <w:rsid w:val="00985756"/>
    <w:rsid w:val="00986E39"/>
    <w:rsid w:val="009C4BC6"/>
    <w:rsid w:val="009C5549"/>
    <w:rsid w:val="009D2F91"/>
    <w:rsid w:val="009D400B"/>
    <w:rsid w:val="009E5E0D"/>
    <w:rsid w:val="009E61E5"/>
    <w:rsid w:val="00A1596E"/>
    <w:rsid w:val="00A17FD3"/>
    <w:rsid w:val="00A51226"/>
    <w:rsid w:val="00A52752"/>
    <w:rsid w:val="00A61D5F"/>
    <w:rsid w:val="00A62DE8"/>
    <w:rsid w:val="00A65917"/>
    <w:rsid w:val="00A70C62"/>
    <w:rsid w:val="00A728CC"/>
    <w:rsid w:val="00A8256B"/>
    <w:rsid w:val="00A83999"/>
    <w:rsid w:val="00A906AE"/>
    <w:rsid w:val="00A915DE"/>
    <w:rsid w:val="00A93C42"/>
    <w:rsid w:val="00AA1213"/>
    <w:rsid w:val="00AA6CA4"/>
    <w:rsid w:val="00AB3F51"/>
    <w:rsid w:val="00AD4B6F"/>
    <w:rsid w:val="00AD709F"/>
    <w:rsid w:val="00AE5F04"/>
    <w:rsid w:val="00B01C86"/>
    <w:rsid w:val="00B10132"/>
    <w:rsid w:val="00B13F81"/>
    <w:rsid w:val="00B16D34"/>
    <w:rsid w:val="00B17D4B"/>
    <w:rsid w:val="00B35978"/>
    <w:rsid w:val="00B44B60"/>
    <w:rsid w:val="00B57FD7"/>
    <w:rsid w:val="00B64B48"/>
    <w:rsid w:val="00B75FE0"/>
    <w:rsid w:val="00B86E64"/>
    <w:rsid w:val="00B904CE"/>
    <w:rsid w:val="00B94F97"/>
    <w:rsid w:val="00BB1090"/>
    <w:rsid w:val="00BB3D35"/>
    <w:rsid w:val="00BB6283"/>
    <w:rsid w:val="00BB6ABA"/>
    <w:rsid w:val="00BB7C12"/>
    <w:rsid w:val="00BC424B"/>
    <w:rsid w:val="00BC49AC"/>
    <w:rsid w:val="00BC7F18"/>
    <w:rsid w:val="00BD71F9"/>
    <w:rsid w:val="00BE7F01"/>
    <w:rsid w:val="00C02217"/>
    <w:rsid w:val="00C06578"/>
    <w:rsid w:val="00C2545E"/>
    <w:rsid w:val="00C31FDF"/>
    <w:rsid w:val="00C35E84"/>
    <w:rsid w:val="00C37602"/>
    <w:rsid w:val="00C4361F"/>
    <w:rsid w:val="00C44891"/>
    <w:rsid w:val="00C46831"/>
    <w:rsid w:val="00C562FB"/>
    <w:rsid w:val="00C6448B"/>
    <w:rsid w:val="00C71669"/>
    <w:rsid w:val="00C8309D"/>
    <w:rsid w:val="00C94BE7"/>
    <w:rsid w:val="00CA134D"/>
    <w:rsid w:val="00CA3779"/>
    <w:rsid w:val="00CA6247"/>
    <w:rsid w:val="00CB635D"/>
    <w:rsid w:val="00CC5510"/>
    <w:rsid w:val="00CD5C86"/>
    <w:rsid w:val="00CD6610"/>
    <w:rsid w:val="00CE11C2"/>
    <w:rsid w:val="00CE70B7"/>
    <w:rsid w:val="00D119EC"/>
    <w:rsid w:val="00D16890"/>
    <w:rsid w:val="00D23D8A"/>
    <w:rsid w:val="00D251BF"/>
    <w:rsid w:val="00D27850"/>
    <w:rsid w:val="00D3532F"/>
    <w:rsid w:val="00D36ACF"/>
    <w:rsid w:val="00D37224"/>
    <w:rsid w:val="00D555AD"/>
    <w:rsid w:val="00D66E12"/>
    <w:rsid w:val="00D95D82"/>
    <w:rsid w:val="00DA155F"/>
    <w:rsid w:val="00DA4049"/>
    <w:rsid w:val="00DC4B70"/>
    <w:rsid w:val="00DC507F"/>
    <w:rsid w:val="00DD3D4C"/>
    <w:rsid w:val="00DD5D07"/>
    <w:rsid w:val="00DE4042"/>
    <w:rsid w:val="00DF347A"/>
    <w:rsid w:val="00E124F8"/>
    <w:rsid w:val="00E165E6"/>
    <w:rsid w:val="00E36755"/>
    <w:rsid w:val="00E42B5B"/>
    <w:rsid w:val="00E44C9E"/>
    <w:rsid w:val="00E53209"/>
    <w:rsid w:val="00E54BD1"/>
    <w:rsid w:val="00E6169E"/>
    <w:rsid w:val="00E7364D"/>
    <w:rsid w:val="00E7754D"/>
    <w:rsid w:val="00E81451"/>
    <w:rsid w:val="00E845DF"/>
    <w:rsid w:val="00E866B6"/>
    <w:rsid w:val="00EA508E"/>
    <w:rsid w:val="00EA5114"/>
    <w:rsid w:val="00EA6AFA"/>
    <w:rsid w:val="00EB35C9"/>
    <w:rsid w:val="00EB6E5D"/>
    <w:rsid w:val="00EC055E"/>
    <w:rsid w:val="00ED2208"/>
    <w:rsid w:val="00ED3E98"/>
    <w:rsid w:val="00EF2609"/>
    <w:rsid w:val="00EF32F0"/>
    <w:rsid w:val="00F02EAF"/>
    <w:rsid w:val="00F201DC"/>
    <w:rsid w:val="00F334B6"/>
    <w:rsid w:val="00F528B1"/>
    <w:rsid w:val="00F574DA"/>
    <w:rsid w:val="00F6054E"/>
    <w:rsid w:val="00F65553"/>
    <w:rsid w:val="00F91DC2"/>
    <w:rsid w:val="00FA6646"/>
    <w:rsid w:val="00FC3B9F"/>
    <w:rsid w:val="00FC4C48"/>
    <w:rsid w:val="00FE432E"/>
    <w:rsid w:val="00FE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1810E2"/>
  <w15:chartTrackingRefBased/>
  <w15:docId w15:val="{B557305E-F948-48E0-A7CC-AE90473E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D1"/>
  </w:style>
  <w:style w:type="paragraph" w:styleId="Footer">
    <w:name w:val="footer"/>
    <w:basedOn w:val="Normal"/>
    <w:link w:val="FooterChar"/>
    <w:uiPriority w:val="99"/>
    <w:unhideWhenUsed/>
    <w:rsid w:val="00E5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D1"/>
  </w:style>
  <w:style w:type="character" w:styleId="Hyperlink">
    <w:name w:val="Hyperlink"/>
    <w:uiPriority w:val="99"/>
    <w:rsid w:val="00E54BD1"/>
    <w:rPr>
      <w:color w:val="0000FF"/>
      <w:u w:val="single"/>
    </w:rPr>
  </w:style>
  <w:style w:type="table" w:styleId="TableGrid">
    <w:name w:val="Table Grid"/>
    <w:basedOn w:val="TableNormal"/>
    <w:uiPriority w:val="39"/>
    <w:rsid w:val="00E54B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D1"/>
    <w:rPr>
      <w:rFonts w:ascii="Segoe UI" w:hAnsi="Segoe UI" w:cs="Segoe UI"/>
      <w:sz w:val="18"/>
      <w:szCs w:val="18"/>
    </w:rPr>
  </w:style>
  <w:style w:type="paragraph" w:styleId="FootnoteText">
    <w:name w:val="footnote text"/>
    <w:basedOn w:val="Normal"/>
    <w:link w:val="FootnoteTextChar"/>
    <w:rsid w:val="00685C2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685C25"/>
    <w:rPr>
      <w:rFonts w:ascii="Arial" w:eastAsia="Times New Roman" w:hAnsi="Arial" w:cs="Times New Roman"/>
      <w:sz w:val="20"/>
      <w:szCs w:val="20"/>
    </w:rPr>
  </w:style>
  <w:style w:type="character" w:styleId="FootnoteReference">
    <w:name w:val="footnote reference"/>
    <w:basedOn w:val="DefaultParagraphFont"/>
    <w:rsid w:val="00685C25"/>
    <w:rPr>
      <w:vertAlign w:val="superscript"/>
    </w:rPr>
  </w:style>
  <w:style w:type="paragraph" w:styleId="NormalWeb">
    <w:name w:val="Normal (Web)"/>
    <w:basedOn w:val="Normal"/>
    <w:uiPriority w:val="99"/>
    <w:unhideWhenUsed/>
    <w:rsid w:val="009D2F91"/>
    <w:pPr>
      <w:spacing w:before="100" w:beforeAutospacing="1" w:after="100" w:afterAutospacing="1" w:line="240" w:lineRule="auto"/>
    </w:pPr>
    <w:rPr>
      <w:rFonts w:eastAsia="Times New Roman" w:cs="Times New Roman"/>
      <w:sz w:val="24"/>
      <w:szCs w:val="24"/>
    </w:rPr>
  </w:style>
  <w:style w:type="paragraph" w:customStyle="1" w:styleId="Default">
    <w:name w:val="Default"/>
    <w:rsid w:val="00750CE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E5E0D"/>
    <w:pPr>
      <w:widowControl w:val="0"/>
      <w:spacing w:after="0" w:line="240" w:lineRule="auto"/>
      <w:ind w:left="1207"/>
    </w:pPr>
    <w:rPr>
      <w:rFonts w:ascii="Arial" w:eastAsia="Arial" w:hAnsi="Arial"/>
      <w:sz w:val="21"/>
      <w:szCs w:val="21"/>
    </w:rPr>
  </w:style>
  <w:style w:type="character" w:customStyle="1" w:styleId="BodyTextChar">
    <w:name w:val="Body Text Char"/>
    <w:basedOn w:val="DefaultParagraphFont"/>
    <w:link w:val="BodyText"/>
    <w:uiPriority w:val="1"/>
    <w:rsid w:val="009E5E0D"/>
    <w:rPr>
      <w:rFonts w:ascii="Arial" w:eastAsia="Arial" w:hAnsi="Arial"/>
      <w:sz w:val="21"/>
      <w:szCs w:val="21"/>
    </w:rPr>
  </w:style>
  <w:style w:type="paragraph" w:styleId="ListParagraph">
    <w:name w:val="List Paragraph"/>
    <w:basedOn w:val="Normal"/>
    <w:uiPriority w:val="1"/>
    <w:qFormat/>
    <w:rsid w:val="0039572C"/>
    <w:pPr>
      <w:ind w:left="720"/>
      <w:contextualSpacing/>
    </w:pPr>
  </w:style>
  <w:style w:type="paragraph" w:customStyle="1" w:styleId="Style1">
    <w:name w:val="Style1"/>
    <w:basedOn w:val="Normal"/>
    <w:rsid w:val="00AD709F"/>
    <w:pPr>
      <w:spacing w:after="0" w:line="240" w:lineRule="auto"/>
      <w:ind w:left="720" w:right="720"/>
    </w:pPr>
    <w:rPr>
      <w:rFonts w:ascii="Arial" w:eastAsia="Times New Roman" w:hAnsi="Arial" w:cs="Arial"/>
      <w:color w:val="000080"/>
      <w:szCs w:val="20"/>
    </w:rPr>
  </w:style>
  <w:style w:type="character" w:styleId="CommentReference">
    <w:name w:val="annotation reference"/>
    <w:basedOn w:val="DefaultParagraphFont"/>
    <w:uiPriority w:val="99"/>
    <w:semiHidden/>
    <w:unhideWhenUsed/>
    <w:rsid w:val="00E124F8"/>
    <w:rPr>
      <w:sz w:val="16"/>
      <w:szCs w:val="16"/>
    </w:rPr>
  </w:style>
  <w:style w:type="paragraph" w:styleId="CommentText">
    <w:name w:val="annotation text"/>
    <w:basedOn w:val="Normal"/>
    <w:link w:val="CommentTextChar"/>
    <w:uiPriority w:val="99"/>
    <w:semiHidden/>
    <w:unhideWhenUsed/>
    <w:rsid w:val="00E124F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E124F8"/>
    <w:rPr>
      <w:rFonts w:ascii="Arial" w:eastAsia="Times New Roman" w:hAnsi="Arial" w:cs="Times New Roman"/>
      <w:sz w:val="20"/>
      <w:szCs w:val="20"/>
    </w:rPr>
  </w:style>
  <w:style w:type="paragraph" w:customStyle="1" w:styleId="Style11">
    <w:name w:val="Style11"/>
    <w:basedOn w:val="Normal"/>
    <w:rsid w:val="00507A57"/>
    <w:pPr>
      <w:tabs>
        <w:tab w:val="left" w:pos="420"/>
        <w:tab w:val="left" w:pos="4320"/>
        <w:tab w:val="right" w:pos="9360"/>
      </w:tabs>
      <w:spacing w:before="60" w:after="60" w:line="240" w:lineRule="auto"/>
    </w:pPr>
    <w:rPr>
      <w:rFonts w:ascii="Arial" w:eastAsia="Times New Roman" w:hAnsi="Arial" w:cs="Arial"/>
      <w:bCs/>
      <w:szCs w:val="20"/>
    </w:rPr>
  </w:style>
  <w:style w:type="table" w:customStyle="1" w:styleId="TableGrid1">
    <w:name w:val="Table Grid1"/>
    <w:basedOn w:val="TableNormal"/>
    <w:next w:val="TableGrid"/>
    <w:uiPriority w:val="39"/>
    <w:rsid w:val="005F0C1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8145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7766">
      <w:bodyDiv w:val="1"/>
      <w:marLeft w:val="0"/>
      <w:marRight w:val="0"/>
      <w:marTop w:val="0"/>
      <w:marBottom w:val="0"/>
      <w:divBdr>
        <w:top w:val="none" w:sz="0" w:space="0" w:color="auto"/>
        <w:left w:val="none" w:sz="0" w:space="0" w:color="auto"/>
        <w:bottom w:val="none" w:sz="0" w:space="0" w:color="auto"/>
        <w:right w:val="none" w:sz="0" w:space="0" w:color="auto"/>
      </w:divBdr>
    </w:div>
    <w:div w:id="543829568">
      <w:bodyDiv w:val="1"/>
      <w:marLeft w:val="0"/>
      <w:marRight w:val="0"/>
      <w:marTop w:val="0"/>
      <w:marBottom w:val="0"/>
      <w:divBdr>
        <w:top w:val="none" w:sz="0" w:space="0" w:color="auto"/>
        <w:left w:val="none" w:sz="0" w:space="0" w:color="auto"/>
        <w:bottom w:val="none" w:sz="0" w:space="0" w:color="auto"/>
        <w:right w:val="none" w:sz="0" w:space="0" w:color="auto"/>
      </w:divBdr>
    </w:div>
    <w:div w:id="1001349366">
      <w:bodyDiv w:val="1"/>
      <w:marLeft w:val="0"/>
      <w:marRight w:val="0"/>
      <w:marTop w:val="0"/>
      <w:marBottom w:val="0"/>
      <w:divBdr>
        <w:top w:val="none" w:sz="0" w:space="0" w:color="auto"/>
        <w:left w:val="none" w:sz="0" w:space="0" w:color="auto"/>
        <w:bottom w:val="none" w:sz="0" w:space="0" w:color="auto"/>
        <w:right w:val="none" w:sz="0" w:space="0" w:color="auto"/>
      </w:divBdr>
    </w:div>
    <w:div w:id="1806046560">
      <w:bodyDiv w:val="1"/>
      <w:marLeft w:val="0"/>
      <w:marRight w:val="0"/>
      <w:marTop w:val="0"/>
      <w:marBottom w:val="0"/>
      <w:divBdr>
        <w:top w:val="none" w:sz="0" w:space="0" w:color="auto"/>
        <w:left w:val="none" w:sz="0" w:space="0" w:color="auto"/>
        <w:bottom w:val="none" w:sz="0" w:space="0" w:color="auto"/>
        <w:right w:val="none" w:sz="0" w:space="0" w:color="auto"/>
      </w:divBdr>
    </w:div>
    <w:div w:id="19544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2C96C.14E3F3A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5CD03-277B-4DB5-8411-83B99ABD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5</Pages>
  <Words>1615</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10800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Ashley Mathers</cp:lastModifiedBy>
  <cp:revision>28</cp:revision>
  <cp:lastPrinted>2018-10-02T15:04:00Z</cp:lastPrinted>
  <dcterms:created xsi:type="dcterms:W3CDTF">2019-04-23T17:34:00Z</dcterms:created>
  <dcterms:modified xsi:type="dcterms:W3CDTF">2019-05-28T18:41:00Z</dcterms:modified>
</cp:coreProperties>
</file>