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0080" w14:textId="77777777" w:rsidR="00685C25" w:rsidRDefault="00685C25" w:rsidP="00685C25">
      <w:pPr>
        <w:spacing w:after="0" w:line="240" w:lineRule="auto"/>
        <w:rPr>
          <w:rFonts w:eastAsia="Times New Roman" w:cs="Times New Roman"/>
          <w:b/>
          <w:u w:val="single"/>
        </w:rPr>
      </w:pPr>
      <w:bookmarkStart w:id="0" w:name="_GoBack"/>
      <w:bookmarkEnd w:id="0"/>
    </w:p>
    <w:tbl>
      <w:tblPr>
        <w:tblStyle w:val="TableGrid"/>
        <w:tblpPr w:leftFromText="180" w:rightFromText="180" w:vertAnchor="text" w:horzAnchor="margin" w:tblpXSpec="right" w:tblpY="14"/>
        <w:tblW w:w="0" w:type="auto"/>
        <w:tblLook w:val="04A0" w:firstRow="1" w:lastRow="0" w:firstColumn="1" w:lastColumn="0" w:noHBand="0" w:noVBand="1"/>
      </w:tblPr>
      <w:tblGrid>
        <w:gridCol w:w="1620"/>
        <w:gridCol w:w="1795"/>
      </w:tblGrid>
      <w:tr w:rsidR="00ED799E" w14:paraId="4E0E4F52" w14:textId="77777777" w:rsidTr="00ED799E">
        <w:tc>
          <w:tcPr>
            <w:tcW w:w="1620" w:type="dxa"/>
          </w:tcPr>
          <w:p w14:paraId="72CE2BB3" w14:textId="77777777" w:rsidR="00ED799E" w:rsidRPr="00ED799E" w:rsidRDefault="00ED799E" w:rsidP="00ED799E">
            <w:pPr>
              <w:rPr>
                <w:rFonts w:ascii="Arial" w:hAnsi="Arial" w:cs="Arial"/>
              </w:rPr>
            </w:pPr>
            <w:r w:rsidRPr="00ED799E">
              <w:rPr>
                <w:rFonts w:ascii="Arial" w:hAnsi="Arial" w:cs="Arial"/>
              </w:rPr>
              <w:t xml:space="preserve">Policy No. </w:t>
            </w:r>
          </w:p>
        </w:tc>
        <w:tc>
          <w:tcPr>
            <w:tcW w:w="1795" w:type="dxa"/>
          </w:tcPr>
          <w:p w14:paraId="6A6F61F8" w14:textId="77777777" w:rsidR="00ED799E" w:rsidRPr="00ED799E" w:rsidRDefault="00ED799E" w:rsidP="00ED799E">
            <w:pPr>
              <w:rPr>
                <w:rFonts w:ascii="Arial" w:hAnsi="Arial" w:cs="Arial"/>
              </w:rPr>
            </w:pPr>
            <w:r>
              <w:rPr>
                <w:rFonts w:ascii="Montserrat-Bold" w:eastAsiaTheme="minorHAnsi" w:hAnsi="Montserrat-Bold" w:cs="Montserrat-Bold"/>
                <w:b/>
                <w:bCs/>
                <w:color w:val="BB1F53"/>
                <w:sz w:val="72"/>
                <w:szCs w:val="72"/>
              </w:rPr>
              <w:t>10</w:t>
            </w:r>
          </w:p>
        </w:tc>
      </w:tr>
      <w:tr w:rsidR="00ED799E" w14:paraId="31685F33" w14:textId="77777777" w:rsidTr="00ED799E">
        <w:tc>
          <w:tcPr>
            <w:tcW w:w="1620" w:type="dxa"/>
          </w:tcPr>
          <w:p w14:paraId="1605C9AB" w14:textId="77777777" w:rsidR="00ED799E" w:rsidRPr="00ED799E" w:rsidRDefault="00ED799E" w:rsidP="00ED799E">
            <w:pPr>
              <w:rPr>
                <w:rFonts w:ascii="Arial" w:hAnsi="Arial" w:cs="Arial"/>
              </w:rPr>
            </w:pPr>
            <w:r w:rsidRPr="00ED799E">
              <w:rPr>
                <w:rFonts w:ascii="Arial" w:hAnsi="Arial" w:cs="Arial"/>
              </w:rPr>
              <w:t>Effective Date</w:t>
            </w:r>
          </w:p>
        </w:tc>
        <w:tc>
          <w:tcPr>
            <w:tcW w:w="1795" w:type="dxa"/>
          </w:tcPr>
          <w:p w14:paraId="77166688" w14:textId="77777777" w:rsidR="00ED799E" w:rsidRPr="00ED799E" w:rsidRDefault="00ED799E" w:rsidP="00ED799E">
            <w:pPr>
              <w:rPr>
                <w:rFonts w:ascii="Arial" w:hAnsi="Arial" w:cs="Arial"/>
              </w:rPr>
            </w:pPr>
            <w:r w:rsidRPr="00ED799E">
              <w:rPr>
                <w:rFonts w:ascii="Arial" w:hAnsi="Arial" w:cs="Arial"/>
              </w:rPr>
              <w:t>7/1/2017</w:t>
            </w:r>
          </w:p>
        </w:tc>
      </w:tr>
      <w:tr w:rsidR="00ED799E" w14:paraId="5FB4AD3D" w14:textId="77777777" w:rsidTr="00ED799E">
        <w:tc>
          <w:tcPr>
            <w:tcW w:w="1620" w:type="dxa"/>
          </w:tcPr>
          <w:p w14:paraId="0C1901AB" w14:textId="77777777" w:rsidR="00ED799E" w:rsidRPr="00ED799E" w:rsidRDefault="00ED799E" w:rsidP="00ED799E">
            <w:pPr>
              <w:rPr>
                <w:rFonts w:ascii="Arial" w:hAnsi="Arial" w:cs="Arial"/>
              </w:rPr>
            </w:pPr>
            <w:r w:rsidRPr="00ED799E">
              <w:rPr>
                <w:rFonts w:ascii="Arial" w:hAnsi="Arial" w:cs="Arial"/>
              </w:rPr>
              <w:t xml:space="preserve">Supersedes </w:t>
            </w:r>
          </w:p>
        </w:tc>
        <w:tc>
          <w:tcPr>
            <w:tcW w:w="1795" w:type="dxa"/>
          </w:tcPr>
          <w:p w14:paraId="3661C44E" w14:textId="77777777" w:rsidR="00ED799E" w:rsidRPr="00ED799E" w:rsidRDefault="00ED799E" w:rsidP="00ED799E">
            <w:pPr>
              <w:rPr>
                <w:rFonts w:ascii="Arial" w:hAnsi="Arial" w:cs="Arial"/>
              </w:rPr>
            </w:pPr>
            <w:r w:rsidRPr="00ED799E">
              <w:rPr>
                <w:rFonts w:ascii="Arial" w:hAnsi="Arial" w:cs="Arial"/>
              </w:rPr>
              <w:t>Procedure of Individual Training Accounts– Attachment L (7/1/2014)</w:t>
            </w:r>
          </w:p>
        </w:tc>
      </w:tr>
      <w:tr w:rsidR="00ED799E" w14:paraId="5B004CA7" w14:textId="77777777" w:rsidTr="00ED799E">
        <w:tc>
          <w:tcPr>
            <w:tcW w:w="1620" w:type="dxa"/>
          </w:tcPr>
          <w:p w14:paraId="3166F340" w14:textId="77777777" w:rsidR="00ED799E" w:rsidRPr="00ED799E" w:rsidRDefault="00ED799E" w:rsidP="00ED799E">
            <w:pPr>
              <w:rPr>
                <w:rFonts w:ascii="Arial" w:hAnsi="Arial" w:cs="Arial"/>
              </w:rPr>
            </w:pPr>
            <w:r w:rsidRPr="00ED799E">
              <w:rPr>
                <w:rFonts w:ascii="Arial" w:hAnsi="Arial" w:cs="Arial"/>
              </w:rPr>
              <w:t>Revision Date</w:t>
            </w:r>
          </w:p>
        </w:tc>
        <w:tc>
          <w:tcPr>
            <w:tcW w:w="1795" w:type="dxa"/>
          </w:tcPr>
          <w:p w14:paraId="558E9BEA" w14:textId="3B27A6A1" w:rsidR="00ED799E" w:rsidRPr="00ED799E" w:rsidRDefault="00ED799E" w:rsidP="00ED799E">
            <w:pPr>
              <w:rPr>
                <w:rFonts w:ascii="Arial" w:hAnsi="Arial" w:cs="Arial"/>
              </w:rPr>
            </w:pPr>
            <w:r>
              <w:rPr>
                <w:rFonts w:ascii="Arial" w:hAnsi="Arial" w:cs="Arial"/>
              </w:rPr>
              <w:t>1/18/2018</w:t>
            </w:r>
          </w:p>
        </w:tc>
      </w:tr>
      <w:tr w:rsidR="00ED799E" w14:paraId="600D87BB" w14:textId="77777777" w:rsidTr="00ED799E">
        <w:tc>
          <w:tcPr>
            <w:tcW w:w="1620" w:type="dxa"/>
          </w:tcPr>
          <w:p w14:paraId="35898B0B" w14:textId="77777777" w:rsidR="00ED799E" w:rsidRPr="00ED799E" w:rsidRDefault="00ED799E" w:rsidP="00ED799E">
            <w:pPr>
              <w:rPr>
                <w:rFonts w:ascii="Arial" w:hAnsi="Arial" w:cs="Arial"/>
              </w:rPr>
            </w:pPr>
            <w:r w:rsidRPr="00ED799E">
              <w:rPr>
                <w:rFonts w:ascii="Arial" w:hAnsi="Arial" w:cs="Arial"/>
              </w:rPr>
              <w:t xml:space="preserve">Revision No. </w:t>
            </w:r>
          </w:p>
        </w:tc>
        <w:tc>
          <w:tcPr>
            <w:tcW w:w="1795" w:type="dxa"/>
          </w:tcPr>
          <w:p w14:paraId="78A7FFCE" w14:textId="12D2C6F7" w:rsidR="00ED799E" w:rsidRPr="00ED799E" w:rsidRDefault="00ED799E" w:rsidP="00ED799E">
            <w:pPr>
              <w:rPr>
                <w:rFonts w:ascii="Arial" w:hAnsi="Arial" w:cs="Arial"/>
              </w:rPr>
            </w:pPr>
            <w:r>
              <w:rPr>
                <w:rFonts w:ascii="Arial" w:hAnsi="Arial" w:cs="Arial"/>
              </w:rPr>
              <w:t>1</w:t>
            </w:r>
          </w:p>
        </w:tc>
      </w:tr>
      <w:tr w:rsidR="00ED799E" w14:paraId="5334CF19" w14:textId="77777777" w:rsidTr="00ED799E">
        <w:tc>
          <w:tcPr>
            <w:tcW w:w="1620" w:type="dxa"/>
          </w:tcPr>
          <w:p w14:paraId="021D018E" w14:textId="77777777" w:rsidR="00ED799E" w:rsidRPr="00ED799E" w:rsidRDefault="00ED799E" w:rsidP="00ED799E">
            <w:pPr>
              <w:rPr>
                <w:rFonts w:ascii="Arial" w:hAnsi="Arial" w:cs="Arial"/>
              </w:rPr>
            </w:pPr>
            <w:r w:rsidRPr="00ED799E">
              <w:rPr>
                <w:rFonts w:ascii="Arial" w:hAnsi="Arial" w:cs="Arial"/>
              </w:rPr>
              <w:t xml:space="preserve">Approval </w:t>
            </w:r>
          </w:p>
        </w:tc>
        <w:tc>
          <w:tcPr>
            <w:tcW w:w="1795" w:type="dxa"/>
          </w:tcPr>
          <w:p w14:paraId="2DD1584A" w14:textId="5D2AE3B0" w:rsidR="00ED799E" w:rsidRPr="00ED799E" w:rsidRDefault="00ED799E" w:rsidP="00ED799E">
            <w:pPr>
              <w:rPr>
                <w:rFonts w:ascii="Arial" w:hAnsi="Arial" w:cs="Arial"/>
              </w:rPr>
            </w:pPr>
            <w:r>
              <w:rPr>
                <w:rFonts w:ascii="Arial" w:hAnsi="Arial" w:cs="Arial"/>
              </w:rPr>
              <w:t>GNWDB</w:t>
            </w:r>
          </w:p>
        </w:tc>
      </w:tr>
    </w:tbl>
    <w:p w14:paraId="2FD88D4D" w14:textId="6629BB35" w:rsidR="00ED799E" w:rsidRPr="00F53B2A" w:rsidRDefault="00ED799E" w:rsidP="00ED799E">
      <w:pPr>
        <w:spacing w:after="0"/>
        <w:rPr>
          <w:rFonts w:ascii="Arial" w:hAnsi="Arial" w:cs="Arial"/>
          <w:b/>
          <w:bCs/>
          <w:color w:val="00607F"/>
          <w:sz w:val="48"/>
          <w:szCs w:val="48"/>
        </w:rPr>
      </w:pPr>
      <w:r>
        <w:rPr>
          <w:rFonts w:ascii="Arial" w:hAnsi="Arial" w:cs="Arial"/>
          <w:b/>
          <w:bCs/>
          <w:color w:val="00607F"/>
          <w:sz w:val="48"/>
          <w:szCs w:val="48"/>
        </w:rPr>
        <w:t xml:space="preserve">Contracting With Training Providers  </w:t>
      </w:r>
    </w:p>
    <w:p w14:paraId="21B1909A" w14:textId="64C4CF11" w:rsidR="00ED799E" w:rsidRPr="00F53B2A" w:rsidRDefault="00ED799E" w:rsidP="00ED799E">
      <w:pPr>
        <w:spacing w:after="0"/>
        <w:rPr>
          <w:rFonts w:ascii="Arial" w:hAnsi="Arial" w:cs="Arial"/>
          <w:b/>
          <w:bCs/>
          <w:sz w:val="20"/>
          <w:szCs w:val="20"/>
        </w:rPr>
      </w:pPr>
      <w:r w:rsidRPr="00F53B2A">
        <w:rPr>
          <w:rFonts w:ascii="Arial" w:hAnsi="Arial" w:cs="Arial"/>
          <w:b/>
          <w:bCs/>
          <w:sz w:val="20"/>
          <w:szCs w:val="20"/>
        </w:rPr>
        <w:t>Dislocated Worker</w:t>
      </w:r>
      <w:r>
        <w:rPr>
          <w:rFonts w:ascii="Arial" w:hAnsi="Arial" w:cs="Arial"/>
          <w:b/>
          <w:bCs/>
          <w:sz w:val="20"/>
          <w:szCs w:val="20"/>
        </w:rPr>
        <w:t>, Adult</w:t>
      </w:r>
      <w:r w:rsidRPr="00F53B2A">
        <w:rPr>
          <w:rFonts w:ascii="Arial" w:hAnsi="Arial" w:cs="Arial"/>
          <w:b/>
          <w:bCs/>
          <w:sz w:val="20"/>
          <w:szCs w:val="20"/>
        </w:rPr>
        <w:t xml:space="preserve"> </w:t>
      </w:r>
      <w:r>
        <w:rPr>
          <w:rFonts w:ascii="Arial" w:hAnsi="Arial" w:cs="Arial"/>
          <w:b/>
          <w:bCs/>
          <w:sz w:val="20"/>
          <w:szCs w:val="20"/>
        </w:rPr>
        <w:t>&amp; Youth Programs</w:t>
      </w:r>
    </w:p>
    <w:p w14:paraId="34051E51" w14:textId="77777777" w:rsidR="00ED799E" w:rsidRPr="00E91E31" w:rsidRDefault="00ED799E" w:rsidP="00ED799E">
      <w:pPr>
        <w:spacing w:after="0"/>
        <w:rPr>
          <w:rFonts w:ascii="Arial" w:hAnsi="Arial" w:cs="Arial"/>
          <w:b/>
          <w:color w:val="000000" w:themeColor="text1"/>
          <w:sz w:val="24"/>
          <w:szCs w:val="24"/>
        </w:rPr>
      </w:pPr>
      <w:r>
        <w:rPr>
          <w:rFonts w:ascii="Arial" w:hAnsi="Arial" w:cs="Arial"/>
          <w:b/>
          <w:color w:val="000000" w:themeColor="text1"/>
          <w:sz w:val="24"/>
          <w:szCs w:val="24"/>
        </w:rPr>
        <w:t xml:space="preserve">Policy  </w:t>
      </w:r>
    </w:p>
    <w:p w14:paraId="7832E28C" w14:textId="77777777" w:rsidR="006C784E" w:rsidRDefault="006C784E" w:rsidP="00E124F8">
      <w:pPr>
        <w:spacing w:after="0" w:line="240" w:lineRule="auto"/>
        <w:jc w:val="both"/>
        <w:rPr>
          <w:rFonts w:eastAsia="Times New Roman" w:cs="Times New Roman"/>
          <w:b/>
          <w:u w:val="single"/>
        </w:rPr>
      </w:pPr>
    </w:p>
    <w:p w14:paraId="7301F382" w14:textId="77777777" w:rsidR="00ED799E" w:rsidRDefault="00ED799E" w:rsidP="00E124F8">
      <w:pPr>
        <w:spacing w:after="0" w:line="240" w:lineRule="auto"/>
        <w:jc w:val="both"/>
        <w:rPr>
          <w:rFonts w:eastAsia="Times New Roman" w:cs="Times New Roman"/>
          <w:b/>
          <w:u w:val="single"/>
        </w:rPr>
      </w:pPr>
    </w:p>
    <w:p w14:paraId="2CE7B757" w14:textId="77777777" w:rsidR="00ED799E" w:rsidRDefault="00ED799E" w:rsidP="00E124F8">
      <w:pPr>
        <w:spacing w:after="0" w:line="240" w:lineRule="auto"/>
        <w:jc w:val="both"/>
        <w:rPr>
          <w:rFonts w:eastAsia="Times New Roman" w:cs="Times New Roman"/>
          <w:b/>
          <w:u w:val="single"/>
        </w:rPr>
      </w:pPr>
    </w:p>
    <w:p w14:paraId="4F5FECDC" w14:textId="43F51EE8" w:rsidR="009E5E0D" w:rsidRDefault="009E5E0D" w:rsidP="00ED799E">
      <w:pPr>
        <w:spacing w:after="0" w:line="240" w:lineRule="auto"/>
        <w:jc w:val="both"/>
        <w:rPr>
          <w:rFonts w:eastAsia="Times New Roman" w:cs="Times New Roman"/>
          <w:b/>
          <w:u w:val="single"/>
        </w:rPr>
      </w:pPr>
    </w:p>
    <w:p w14:paraId="2DAF70B7" w14:textId="77777777" w:rsidR="00ED799E" w:rsidRDefault="00ED799E" w:rsidP="00ED799E">
      <w:pPr>
        <w:spacing w:after="0" w:line="240" w:lineRule="auto"/>
        <w:jc w:val="both"/>
        <w:rPr>
          <w:rFonts w:eastAsia="Times New Roman" w:cs="Times New Roman"/>
          <w:b/>
          <w:u w:val="single"/>
        </w:rPr>
      </w:pPr>
    </w:p>
    <w:p w14:paraId="3E83EC6E" w14:textId="77777777" w:rsidR="00ED799E" w:rsidRPr="00ED799E" w:rsidRDefault="00ED799E" w:rsidP="00ED799E">
      <w:pPr>
        <w:spacing w:after="0" w:line="240" w:lineRule="auto"/>
        <w:jc w:val="both"/>
        <w:rPr>
          <w:rFonts w:eastAsia="+mn-ea" w:cs="Times New Roman"/>
          <w:b/>
          <w:bCs/>
          <w:color w:val="00607F"/>
          <w:kern w:val="24"/>
          <w:sz w:val="28"/>
          <w:szCs w:val="28"/>
          <w:u w:val="single"/>
        </w:rPr>
      </w:pPr>
    </w:p>
    <w:p w14:paraId="0C2441AC" w14:textId="38FB6EDC" w:rsidR="00B44B60" w:rsidRPr="000C3B55" w:rsidRDefault="00685C25" w:rsidP="004201F7">
      <w:pPr>
        <w:spacing w:after="0" w:line="240" w:lineRule="auto"/>
        <w:jc w:val="both"/>
        <w:rPr>
          <w:rFonts w:ascii="Arial" w:hAnsi="Arial" w:cs="Arial"/>
          <w:bCs/>
          <w:color w:val="00607F"/>
          <w:sz w:val="24"/>
          <w:szCs w:val="24"/>
          <w:u w:val="single"/>
        </w:rPr>
      </w:pPr>
      <w:r w:rsidRPr="000C3B55">
        <w:rPr>
          <w:rFonts w:ascii="Arial" w:hAnsi="Arial" w:cs="Arial"/>
          <w:bCs/>
          <w:color w:val="00607F"/>
          <w:sz w:val="24"/>
          <w:szCs w:val="24"/>
          <w:u w:val="single"/>
        </w:rPr>
        <w:t xml:space="preserve">Policy </w:t>
      </w:r>
    </w:p>
    <w:p w14:paraId="1BD411E8" w14:textId="202FB7B6" w:rsidR="000C3B55" w:rsidRDefault="00B44B60" w:rsidP="00B44B60">
      <w:pPr>
        <w:spacing w:after="0" w:line="240" w:lineRule="auto"/>
        <w:jc w:val="both"/>
        <w:rPr>
          <w:rFonts w:ascii="Arial" w:hAnsi="Arial" w:cs="Arial"/>
          <w:color w:val="000000"/>
        </w:rPr>
      </w:pPr>
      <w:r w:rsidRPr="00ED799E">
        <w:rPr>
          <w:rFonts w:ascii="Arial" w:hAnsi="Arial" w:cs="Arial"/>
          <w:color w:val="000000"/>
        </w:rPr>
        <w:t>Contracts for ser</w:t>
      </w:r>
      <w:r w:rsidR="008431CA" w:rsidRPr="00ED799E">
        <w:rPr>
          <w:rFonts w:ascii="Arial" w:hAnsi="Arial" w:cs="Arial"/>
          <w:color w:val="000000"/>
        </w:rPr>
        <w:t>vices may be used instead of Individual Training Accounts (ITAs)</w:t>
      </w:r>
      <w:r w:rsidRPr="00ED799E">
        <w:rPr>
          <w:rFonts w:ascii="Arial" w:hAnsi="Arial" w:cs="Arial"/>
          <w:color w:val="000000"/>
        </w:rPr>
        <w:t xml:space="preserve"> </w:t>
      </w:r>
      <w:r w:rsidRPr="00ED799E">
        <w:rPr>
          <w:rFonts w:ascii="Arial" w:hAnsi="Arial" w:cs="Arial"/>
          <w:b/>
          <w:bCs/>
          <w:color w:val="000000"/>
        </w:rPr>
        <w:t xml:space="preserve">only </w:t>
      </w:r>
      <w:r w:rsidRPr="00ED799E">
        <w:rPr>
          <w:rFonts w:ascii="Arial" w:hAnsi="Arial" w:cs="Arial"/>
          <w:color w:val="000000"/>
        </w:rPr>
        <w:t>when one (1) or more of the following five (5) exceptions apply and the local area has fulfilled the consumer choice requirements described below:</w:t>
      </w:r>
      <w:r w:rsidRPr="00ED799E">
        <w:rPr>
          <w:rStyle w:val="FootnoteReference"/>
          <w:rFonts w:ascii="Arial" w:hAnsi="Arial" w:cs="Arial"/>
          <w:color w:val="000000"/>
        </w:rPr>
        <w:footnoteReference w:id="1"/>
      </w:r>
    </w:p>
    <w:p w14:paraId="31BFA954" w14:textId="77777777" w:rsidR="000C3B55" w:rsidRDefault="000C3B55" w:rsidP="00B44B60">
      <w:pPr>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445"/>
        <w:gridCol w:w="8905"/>
      </w:tblGrid>
      <w:tr w:rsidR="000C3B55" w14:paraId="39FF5699" w14:textId="77777777" w:rsidTr="000C3B55">
        <w:tc>
          <w:tcPr>
            <w:tcW w:w="445" w:type="dxa"/>
          </w:tcPr>
          <w:p w14:paraId="7989DB4F" w14:textId="593DEE82" w:rsidR="000C3B55" w:rsidRPr="000C3B55" w:rsidRDefault="000C3B55" w:rsidP="00B44B60">
            <w:pPr>
              <w:jc w:val="both"/>
              <w:rPr>
                <w:rFonts w:ascii="Arial" w:eastAsia="+mn-ea" w:hAnsi="Arial" w:cs="Arial"/>
                <w:bCs/>
                <w:kern w:val="24"/>
                <w:sz w:val="22"/>
                <w:szCs w:val="22"/>
              </w:rPr>
            </w:pPr>
            <w:r w:rsidRPr="000C3B55">
              <w:rPr>
                <w:rFonts w:ascii="Arial" w:eastAsia="+mn-ea" w:hAnsi="Arial" w:cs="Arial"/>
                <w:bCs/>
                <w:kern w:val="24"/>
                <w:sz w:val="22"/>
                <w:szCs w:val="22"/>
              </w:rPr>
              <w:t>1.</w:t>
            </w:r>
          </w:p>
        </w:tc>
        <w:tc>
          <w:tcPr>
            <w:tcW w:w="8905" w:type="dxa"/>
          </w:tcPr>
          <w:p w14:paraId="38AF593D" w14:textId="325E7E76" w:rsidR="000C3B55" w:rsidRPr="000C3B55" w:rsidRDefault="000C3B55" w:rsidP="000C3B55">
            <w:pPr>
              <w:pStyle w:val="NormalWeb"/>
              <w:rPr>
                <w:rFonts w:ascii="Arial" w:hAnsi="Arial" w:cs="Arial"/>
                <w:sz w:val="22"/>
                <w:szCs w:val="22"/>
              </w:rPr>
            </w:pPr>
            <w:r w:rsidRPr="000C3B55">
              <w:rPr>
                <w:rFonts w:ascii="Arial" w:hAnsi="Arial" w:cs="Arial"/>
                <w:sz w:val="22"/>
                <w:szCs w:val="22"/>
              </w:rPr>
              <w:t xml:space="preserve">when the services provided are on-the-job training (OJT), customized training, incumbent worker training, or transitional employment; </w:t>
            </w:r>
          </w:p>
        </w:tc>
      </w:tr>
      <w:tr w:rsidR="000C3B55" w14:paraId="7850E454" w14:textId="77777777" w:rsidTr="000C3B55">
        <w:tc>
          <w:tcPr>
            <w:tcW w:w="445" w:type="dxa"/>
          </w:tcPr>
          <w:p w14:paraId="13A9F278" w14:textId="37F3CE70" w:rsidR="000C3B55" w:rsidRPr="000C3B55" w:rsidRDefault="000C3B55" w:rsidP="00B44B60">
            <w:pPr>
              <w:jc w:val="both"/>
              <w:rPr>
                <w:rFonts w:ascii="Arial" w:eastAsia="+mn-ea" w:hAnsi="Arial" w:cs="Arial"/>
                <w:bCs/>
                <w:kern w:val="24"/>
                <w:sz w:val="22"/>
                <w:szCs w:val="22"/>
              </w:rPr>
            </w:pPr>
            <w:r w:rsidRPr="000C3B55">
              <w:rPr>
                <w:rFonts w:ascii="Arial" w:eastAsia="+mn-ea" w:hAnsi="Arial" w:cs="Arial"/>
                <w:bCs/>
                <w:kern w:val="24"/>
                <w:sz w:val="22"/>
                <w:szCs w:val="22"/>
              </w:rPr>
              <w:t>2.</w:t>
            </w:r>
          </w:p>
        </w:tc>
        <w:tc>
          <w:tcPr>
            <w:tcW w:w="8905" w:type="dxa"/>
          </w:tcPr>
          <w:p w14:paraId="79C7929F" w14:textId="4778CE2E" w:rsidR="000C3B55" w:rsidRPr="000C3B55" w:rsidRDefault="000C3B55" w:rsidP="000C3B55">
            <w:pPr>
              <w:pStyle w:val="NormalWeb"/>
              <w:rPr>
                <w:rFonts w:ascii="Arial" w:hAnsi="Arial" w:cs="Arial"/>
                <w:sz w:val="22"/>
                <w:szCs w:val="22"/>
              </w:rPr>
            </w:pPr>
            <w:r w:rsidRPr="000C3B55">
              <w:rPr>
                <w:rFonts w:ascii="Arial" w:hAnsi="Arial" w:cs="Arial"/>
                <w:sz w:val="22"/>
                <w:szCs w:val="22"/>
              </w:rPr>
              <w:t>when the local board determines that there are an insufficient number of eligible training providers in the local area;</w:t>
            </w:r>
          </w:p>
        </w:tc>
      </w:tr>
      <w:tr w:rsidR="000C3B55" w14:paraId="7C190A87" w14:textId="77777777" w:rsidTr="000C3B55">
        <w:tc>
          <w:tcPr>
            <w:tcW w:w="445" w:type="dxa"/>
          </w:tcPr>
          <w:p w14:paraId="52547369" w14:textId="1F437708" w:rsidR="000C3B55" w:rsidRPr="000C3B55" w:rsidRDefault="000C3B55" w:rsidP="00B44B60">
            <w:pPr>
              <w:jc w:val="both"/>
              <w:rPr>
                <w:rFonts w:ascii="Arial" w:eastAsia="+mn-ea" w:hAnsi="Arial" w:cs="Arial"/>
                <w:bCs/>
                <w:kern w:val="24"/>
                <w:sz w:val="22"/>
                <w:szCs w:val="22"/>
              </w:rPr>
            </w:pPr>
            <w:r w:rsidRPr="000C3B55">
              <w:rPr>
                <w:rFonts w:ascii="Arial" w:eastAsia="+mn-ea" w:hAnsi="Arial" w:cs="Arial"/>
                <w:bCs/>
                <w:kern w:val="24"/>
                <w:sz w:val="22"/>
                <w:szCs w:val="22"/>
              </w:rPr>
              <w:t>3.</w:t>
            </w:r>
          </w:p>
        </w:tc>
        <w:tc>
          <w:tcPr>
            <w:tcW w:w="8905" w:type="dxa"/>
          </w:tcPr>
          <w:p w14:paraId="0CDC5798" w14:textId="69008C11" w:rsidR="000C3B55" w:rsidRPr="000C3B55" w:rsidRDefault="000C3B55" w:rsidP="000C3B55">
            <w:pPr>
              <w:pStyle w:val="NormalWeb"/>
              <w:rPr>
                <w:rFonts w:ascii="Arial" w:hAnsi="Arial" w:cs="Arial"/>
                <w:sz w:val="22"/>
                <w:szCs w:val="22"/>
              </w:rPr>
            </w:pPr>
            <w:r w:rsidRPr="000C3B55">
              <w:rPr>
                <w:rFonts w:ascii="Arial" w:hAnsi="Arial" w:cs="Arial"/>
                <w:sz w:val="22"/>
                <w:szCs w:val="22"/>
              </w:rPr>
              <w:t>when the local board determines that there is a training services program of demonstrated effectiveness offered in the area by a community-based organization or another private organization to serve individuals with barriers to employment;</w:t>
            </w:r>
          </w:p>
        </w:tc>
      </w:tr>
      <w:tr w:rsidR="000C3B55" w14:paraId="29EBE9BD" w14:textId="77777777" w:rsidTr="000C3B55">
        <w:tc>
          <w:tcPr>
            <w:tcW w:w="445" w:type="dxa"/>
          </w:tcPr>
          <w:p w14:paraId="67B5D29A" w14:textId="7A3A274C" w:rsidR="000C3B55" w:rsidRPr="000C3B55" w:rsidRDefault="000C3B55" w:rsidP="00B44B60">
            <w:pPr>
              <w:jc w:val="both"/>
              <w:rPr>
                <w:rFonts w:ascii="Arial" w:eastAsia="+mn-ea" w:hAnsi="Arial" w:cs="Arial"/>
                <w:bCs/>
                <w:kern w:val="24"/>
                <w:sz w:val="22"/>
                <w:szCs w:val="22"/>
              </w:rPr>
            </w:pPr>
            <w:r w:rsidRPr="000C3B55">
              <w:rPr>
                <w:rFonts w:ascii="Arial" w:eastAsia="+mn-ea" w:hAnsi="Arial" w:cs="Arial"/>
                <w:bCs/>
                <w:kern w:val="24"/>
                <w:sz w:val="22"/>
                <w:szCs w:val="22"/>
              </w:rPr>
              <w:t>4.</w:t>
            </w:r>
          </w:p>
        </w:tc>
        <w:tc>
          <w:tcPr>
            <w:tcW w:w="8905" w:type="dxa"/>
          </w:tcPr>
          <w:p w14:paraId="455D5DFF" w14:textId="0DF07609" w:rsidR="000C3B55" w:rsidRPr="000C3B55" w:rsidRDefault="000C3B55" w:rsidP="000C3B55">
            <w:pPr>
              <w:pStyle w:val="NormalWeb"/>
              <w:spacing w:before="0" w:beforeAutospacing="0" w:after="0" w:afterAutospacing="0"/>
              <w:rPr>
                <w:rFonts w:ascii="Arial" w:hAnsi="Arial" w:cs="Arial"/>
                <w:sz w:val="22"/>
                <w:szCs w:val="22"/>
              </w:rPr>
            </w:pPr>
            <w:r w:rsidRPr="000C3B55">
              <w:rPr>
                <w:rFonts w:ascii="Arial" w:hAnsi="Arial" w:cs="Arial"/>
                <w:sz w:val="22"/>
                <w:szCs w:val="22"/>
              </w:rPr>
              <w:t>when the local board determines that it would be most appropriate to contract with an institution of higher education or other eligible provider of training services that will facilitate the training of multiple individuals in in-demand industry sectors or occupations, provided that the contract does not limit consumer choice; or</w:t>
            </w:r>
          </w:p>
        </w:tc>
      </w:tr>
      <w:tr w:rsidR="000C3B55" w14:paraId="2CEDC6FC" w14:textId="77777777" w:rsidTr="000C3B55">
        <w:tc>
          <w:tcPr>
            <w:tcW w:w="445" w:type="dxa"/>
          </w:tcPr>
          <w:p w14:paraId="5A72B2ED" w14:textId="2402940F" w:rsidR="000C3B55" w:rsidRPr="000C3B55" w:rsidRDefault="000C3B55" w:rsidP="00B44B60">
            <w:pPr>
              <w:jc w:val="both"/>
              <w:rPr>
                <w:rFonts w:ascii="Arial" w:eastAsia="+mn-ea" w:hAnsi="Arial" w:cs="Arial"/>
                <w:bCs/>
                <w:kern w:val="24"/>
                <w:sz w:val="22"/>
                <w:szCs w:val="22"/>
              </w:rPr>
            </w:pPr>
            <w:r w:rsidRPr="000C3B55">
              <w:rPr>
                <w:rFonts w:ascii="Arial" w:eastAsia="+mn-ea" w:hAnsi="Arial" w:cs="Arial"/>
                <w:bCs/>
                <w:kern w:val="24"/>
                <w:sz w:val="22"/>
                <w:szCs w:val="22"/>
              </w:rPr>
              <w:t>5.</w:t>
            </w:r>
          </w:p>
        </w:tc>
        <w:tc>
          <w:tcPr>
            <w:tcW w:w="8905" w:type="dxa"/>
          </w:tcPr>
          <w:p w14:paraId="7D4721EF" w14:textId="164B7A33" w:rsidR="000C3B55" w:rsidRPr="000C3B55" w:rsidRDefault="000C3B55" w:rsidP="000C3B55">
            <w:pPr>
              <w:pStyle w:val="NormalWeb"/>
              <w:rPr>
                <w:rFonts w:ascii="Arial" w:hAnsi="Arial" w:cs="Arial"/>
                <w:sz w:val="22"/>
                <w:szCs w:val="22"/>
              </w:rPr>
            </w:pPr>
            <w:r w:rsidRPr="000C3B55">
              <w:rPr>
                <w:rFonts w:ascii="Arial" w:hAnsi="Arial" w:cs="Arial"/>
                <w:sz w:val="22"/>
                <w:szCs w:val="22"/>
              </w:rPr>
              <w:t xml:space="preserve">when the local board is considering entering into a pay-for-performance contract, and the local board ensures the contract is consistent with WIOA requirements on pay-for-performance contracts (see 20 CFR § 683.510). </w:t>
            </w:r>
          </w:p>
        </w:tc>
      </w:tr>
    </w:tbl>
    <w:p w14:paraId="24D3C309" w14:textId="5D62609C" w:rsidR="00D90CD7" w:rsidRPr="00ED799E" w:rsidRDefault="00B44B60" w:rsidP="00727818">
      <w:pPr>
        <w:pStyle w:val="NormalWeb"/>
        <w:rPr>
          <w:rFonts w:ascii="Arial" w:hAnsi="Arial" w:cs="Arial"/>
          <w:color w:val="000000"/>
          <w:sz w:val="22"/>
          <w:szCs w:val="22"/>
        </w:rPr>
      </w:pPr>
      <w:r w:rsidRPr="00ED799E">
        <w:rPr>
          <w:rFonts w:ascii="Arial" w:hAnsi="Arial" w:cs="Arial"/>
          <w:b/>
          <w:bCs/>
          <w:color w:val="000000"/>
          <w:sz w:val="22"/>
          <w:szCs w:val="22"/>
        </w:rPr>
        <w:t>Exceptions are intended to meet special needs and should be used infrequently</w:t>
      </w:r>
      <w:r w:rsidRPr="00ED799E">
        <w:rPr>
          <w:rFonts w:ascii="Arial" w:hAnsi="Arial" w:cs="Arial"/>
          <w:color w:val="000000"/>
          <w:sz w:val="22"/>
          <w:szCs w:val="22"/>
        </w:rPr>
        <w:t xml:space="preserve">. </w:t>
      </w:r>
    </w:p>
    <w:p w14:paraId="6D3F7892" w14:textId="648725ED" w:rsidR="00727818" w:rsidRPr="000C3B55" w:rsidRDefault="00727818" w:rsidP="00967A58">
      <w:pPr>
        <w:rPr>
          <w:rFonts w:ascii="Montserrat-Bold" w:hAnsi="Montserrat-Bold" w:cs="Montserrat-Bold"/>
          <w:b/>
          <w:bCs/>
          <w:color w:val="BB1F53"/>
        </w:rPr>
      </w:pPr>
      <w:r w:rsidRPr="000C3B55">
        <w:rPr>
          <w:rFonts w:ascii="Montserrat-Bold" w:hAnsi="Montserrat-Bold" w:cs="Montserrat-Bold"/>
          <w:b/>
          <w:bCs/>
          <w:color w:val="BB1F53"/>
        </w:rPr>
        <w:t xml:space="preserve">Selecting Training Providers </w:t>
      </w:r>
    </w:p>
    <w:p w14:paraId="61A78201" w14:textId="3D1267C3" w:rsidR="000C3B55" w:rsidRDefault="00967A58" w:rsidP="00967A58">
      <w:pPr>
        <w:rPr>
          <w:rFonts w:ascii="Arial" w:hAnsi="Arial" w:cs="Arial"/>
        </w:rPr>
      </w:pPr>
      <w:r w:rsidRPr="00ED799E">
        <w:rPr>
          <w:rFonts w:ascii="Arial" w:hAnsi="Arial" w:cs="Arial"/>
        </w:rPr>
        <w:t xml:space="preserve">The </w:t>
      </w:r>
      <w:r w:rsidR="00911612" w:rsidRPr="00ED799E">
        <w:rPr>
          <w:rFonts w:ascii="Arial" w:hAnsi="Arial" w:cs="Arial"/>
        </w:rPr>
        <w:t xml:space="preserve">Strategic Planning Committee </w:t>
      </w:r>
      <w:r w:rsidRPr="00ED799E">
        <w:rPr>
          <w:rFonts w:ascii="Arial" w:hAnsi="Arial" w:cs="Arial"/>
        </w:rPr>
        <w:t>will review and make the determination</w:t>
      </w:r>
      <w:r w:rsidR="00727818" w:rsidRPr="00ED799E">
        <w:rPr>
          <w:rFonts w:ascii="Arial" w:hAnsi="Arial" w:cs="Arial"/>
        </w:rPr>
        <w:t xml:space="preserve"> of whether a</w:t>
      </w:r>
      <w:r w:rsidRPr="00ED799E">
        <w:rPr>
          <w:rFonts w:ascii="Arial" w:hAnsi="Arial" w:cs="Arial"/>
        </w:rPr>
        <w:t xml:space="preserve"> program meets the guidelines below: </w:t>
      </w:r>
    </w:p>
    <w:tbl>
      <w:tblPr>
        <w:tblStyle w:val="TableGrid"/>
        <w:tblW w:w="0" w:type="auto"/>
        <w:tblLook w:val="04A0" w:firstRow="1" w:lastRow="0" w:firstColumn="1" w:lastColumn="0" w:noHBand="0" w:noVBand="1"/>
      </w:tblPr>
      <w:tblGrid>
        <w:gridCol w:w="445"/>
        <w:gridCol w:w="8905"/>
      </w:tblGrid>
      <w:tr w:rsidR="000C3B55" w:rsidRPr="002C3426" w14:paraId="19F0953F" w14:textId="77777777" w:rsidTr="000C3B55">
        <w:tc>
          <w:tcPr>
            <w:tcW w:w="445" w:type="dxa"/>
          </w:tcPr>
          <w:p w14:paraId="019EB602" w14:textId="22E9E3D3" w:rsidR="000C3B55" w:rsidRPr="002C3426" w:rsidRDefault="002C3426" w:rsidP="00967A58">
            <w:pPr>
              <w:rPr>
                <w:rFonts w:ascii="Arial" w:hAnsi="Arial" w:cs="Arial"/>
                <w:sz w:val="22"/>
                <w:szCs w:val="22"/>
              </w:rPr>
            </w:pPr>
            <w:r>
              <w:rPr>
                <w:rFonts w:ascii="Arial" w:hAnsi="Arial" w:cs="Arial"/>
                <w:sz w:val="22"/>
                <w:szCs w:val="22"/>
              </w:rPr>
              <w:t>1.</w:t>
            </w:r>
          </w:p>
        </w:tc>
        <w:tc>
          <w:tcPr>
            <w:tcW w:w="8905" w:type="dxa"/>
          </w:tcPr>
          <w:p w14:paraId="40B925EC" w14:textId="0DDAFA3C" w:rsidR="000C3B55" w:rsidRPr="002C3426" w:rsidRDefault="002C3426" w:rsidP="00967A58">
            <w:pPr>
              <w:rPr>
                <w:rFonts w:ascii="Arial" w:hAnsi="Arial" w:cs="Arial"/>
                <w:sz w:val="22"/>
                <w:szCs w:val="22"/>
              </w:rPr>
            </w:pPr>
            <w:r w:rsidRPr="002C3426">
              <w:rPr>
                <w:rFonts w:ascii="Arial" w:hAnsi="Arial" w:cs="Arial"/>
                <w:sz w:val="22"/>
                <w:szCs w:val="22"/>
              </w:rPr>
              <w:t xml:space="preserve">One of the five exceptions apply. </w:t>
            </w:r>
          </w:p>
        </w:tc>
      </w:tr>
      <w:tr w:rsidR="000C3B55" w:rsidRPr="002C3426" w14:paraId="45E8D36E" w14:textId="77777777" w:rsidTr="000C3B55">
        <w:tc>
          <w:tcPr>
            <w:tcW w:w="445" w:type="dxa"/>
          </w:tcPr>
          <w:p w14:paraId="3D9A4DE8" w14:textId="01D5DC04" w:rsidR="000C3B55" w:rsidRPr="002C3426" w:rsidRDefault="002C3426" w:rsidP="00967A58">
            <w:pPr>
              <w:rPr>
                <w:rFonts w:ascii="Arial" w:hAnsi="Arial" w:cs="Arial"/>
                <w:sz w:val="22"/>
                <w:szCs w:val="22"/>
              </w:rPr>
            </w:pPr>
            <w:r>
              <w:rPr>
                <w:rFonts w:ascii="Arial" w:hAnsi="Arial" w:cs="Arial"/>
                <w:sz w:val="22"/>
                <w:szCs w:val="22"/>
              </w:rPr>
              <w:t>2.</w:t>
            </w:r>
          </w:p>
        </w:tc>
        <w:tc>
          <w:tcPr>
            <w:tcW w:w="8905" w:type="dxa"/>
          </w:tcPr>
          <w:p w14:paraId="63AB83B6" w14:textId="06C340A8" w:rsidR="000C3B55" w:rsidRPr="002C3426" w:rsidRDefault="002C3426" w:rsidP="00967A58">
            <w:pPr>
              <w:rPr>
                <w:rFonts w:ascii="Arial" w:hAnsi="Arial" w:cs="Arial"/>
                <w:sz w:val="22"/>
                <w:szCs w:val="22"/>
              </w:rPr>
            </w:pPr>
            <w:r w:rsidRPr="002C3426">
              <w:rPr>
                <w:rFonts w:ascii="Arial" w:hAnsi="Arial" w:cs="Arial"/>
                <w:sz w:val="22"/>
                <w:szCs w:val="22"/>
              </w:rPr>
              <w:t xml:space="preserve">Program was not approved as an eligible program by NDOL. </w:t>
            </w:r>
          </w:p>
        </w:tc>
      </w:tr>
      <w:tr w:rsidR="000C3B55" w:rsidRPr="002C3426" w14:paraId="2FDE4370" w14:textId="77777777" w:rsidTr="000C3B55">
        <w:tc>
          <w:tcPr>
            <w:tcW w:w="445" w:type="dxa"/>
          </w:tcPr>
          <w:p w14:paraId="1003F589" w14:textId="04662813" w:rsidR="000C3B55" w:rsidRPr="002C3426" w:rsidRDefault="002C3426" w:rsidP="00967A58">
            <w:pPr>
              <w:rPr>
                <w:rFonts w:ascii="Arial" w:hAnsi="Arial" w:cs="Arial"/>
                <w:sz w:val="22"/>
                <w:szCs w:val="22"/>
              </w:rPr>
            </w:pPr>
            <w:r>
              <w:rPr>
                <w:rFonts w:ascii="Arial" w:hAnsi="Arial" w:cs="Arial"/>
                <w:sz w:val="22"/>
                <w:szCs w:val="22"/>
              </w:rPr>
              <w:t>3.</w:t>
            </w:r>
          </w:p>
        </w:tc>
        <w:tc>
          <w:tcPr>
            <w:tcW w:w="8905" w:type="dxa"/>
          </w:tcPr>
          <w:p w14:paraId="02EF42B1" w14:textId="7555901A" w:rsidR="000C3B55" w:rsidRPr="002C3426" w:rsidRDefault="002C3426" w:rsidP="00967A58">
            <w:pPr>
              <w:rPr>
                <w:rFonts w:ascii="Arial" w:hAnsi="Arial" w:cs="Arial"/>
                <w:sz w:val="22"/>
                <w:szCs w:val="22"/>
              </w:rPr>
            </w:pPr>
            <w:r w:rsidRPr="002C3426">
              <w:rPr>
                <w:rFonts w:ascii="Arial" w:hAnsi="Arial" w:cs="Arial"/>
                <w:sz w:val="22"/>
                <w:szCs w:val="22"/>
              </w:rPr>
              <w:t xml:space="preserve">Training is limited to short-term training (no more than six months). </w:t>
            </w:r>
          </w:p>
        </w:tc>
      </w:tr>
      <w:tr w:rsidR="000C3B55" w:rsidRPr="002C3426" w14:paraId="13BCA93D" w14:textId="77777777" w:rsidTr="000C3B55">
        <w:tc>
          <w:tcPr>
            <w:tcW w:w="445" w:type="dxa"/>
          </w:tcPr>
          <w:p w14:paraId="7CCDEFEF" w14:textId="5E1C113B" w:rsidR="000C3B55" w:rsidRPr="002C3426" w:rsidRDefault="002C3426" w:rsidP="00967A58">
            <w:pPr>
              <w:rPr>
                <w:rFonts w:ascii="Arial" w:hAnsi="Arial" w:cs="Arial"/>
                <w:sz w:val="22"/>
                <w:szCs w:val="22"/>
              </w:rPr>
            </w:pPr>
            <w:r>
              <w:rPr>
                <w:rFonts w:ascii="Arial" w:hAnsi="Arial" w:cs="Arial"/>
                <w:sz w:val="22"/>
                <w:szCs w:val="22"/>
              </w:rPr>
              <w:t>4.</w:t>
            </w:r>
          </w:p>
        </w:tc>
        <w:tc>
          <w:tcPr>
            <w:tcW w:w="8905" w:type="dxa"/>
          </w:tcPr>
          <w:p w14:paraId="037AA947" w14:textId="6C5B955C" w:rsidR="000C3B55" w:rsidRPr="002C3426" w:rsidRDefault="002C3426" w:rsidP="00967A58">
            <w:pPr>
              <w:rPr>
                <w:rFonts w:ascii="Arial" w:hAnsi="Arial" w:cs="Arial"/>
                <w:sz w:val="22"/>
                <w:szCs w:val="22"/>
              </w:rPr>
            </w:pPr>
            <w:r w:rsidRPr="002C3426">
              <w:rPr>
                <w:rFonts w:ascii="Arial" w:hAnsi="Arial" w:cs="Arial"/>
                <w:sz w:val="22"/>
                <w:szCs w:val="22"/>
              </w:rPr>
              <w:t>Serves to provide needed training to participants in order to follow a career path that will lead to H3 employment. H3 employment has high wage, high demand and high skill.</w:t>
            </w:r>
          </w:p>
        </w:tc>
      </w:tr>
      <w:tr w:rsidR="000C3B55" w:rsidRPr="002C3426" w14:paraId="4F1A3D72" w14:textId="77777777" w:rsidTr="000C3B55">
        <w:tc>
          <w:tcPr>
            <w:tcW w:w="445" w:type="dxa"/>
          </w:tcPr>
          <w:p w14:paraId="47B55596" w14:textId="75CDFB55" w:rsidR="000C3B55" w:rsidRPr="002C3426" w:rsidRDefault="002C3426" w:rsidP="00967A58">
            <w:pPr>
              <w:rPr>
                <w:rFonts w:ascii="Arial" w:hAnsi="Arial" w:cs="Arial"/>
                <w:sz w:val="22"/>
                <w:szCs w:val="22"/>
              </w:rPr>
            </w:pPr>
            <w:r>
              <w:rPr>
                <w:rFonts w:ascii="Arial" w:hAnsi="Arial" w:cs="Arial"/>
                <w:sz w:val="22"/>
                <w:szCs w:val="22"/>
              </w:rPr>
              <w:lastRenderedPageBreak/>
              <w:t>5.</w:t>
            </w:r>
          </w:p>
        </w:tc>
        <w:tc>
          <w:tcPr>
            <w:tcW w:w="8905" w:type="dxa"/>
          </w:tcPr>
          <w:p w14:paraId="1214CB42" w14:textId="77777777" w:rsidR="002C3426" w:rsidRPr="002C3426" w:rsidRDefault="002C3426" w:rsidP="002C3426">
            <w:pPr>
              <w:pStyle w:val="NormalWeb"/>
              <w:spacing w:after="0" w:afterAutospacing="0"/>
              <w:rPr>
                <w:rFonts w:ascii="Arial" w:hAnsi="Arial" w:cs="Arial"/>
                <w:sz w:val="22"/>
                <w:szCs w:val="22"/>
              </w:rPr>
            </w:pPr>
            <w:r w:rsidRPr="002C3426">
              <w:rPr>
                <w:rFonts w:ascii="Arial" w:hAnsi="Arial" w:cs="Arial"/>
                <w:sz w:val="22"/>
                <w:szCs w:val="22"/>
              </w:rPr>
              <w:t xml:space="preserve">Training demonstrates effectiveness particularly as it applies to individuals with barriers to employment to be served. </w:t>
            </w:r>
            <w:r w:rsidRPr="002C3426">
              <w:rPr>
                <w:rFonts w:ascii="Arial" w:hAnsi="Arial" w:cs="Arial"/>
                <w:color w:val="000000"/>
                <w:sz w:val="22"/>
                <w:szCs w:val="22"/>
              </w:rPr>
              <w:t>Individuals with barriers to employment may include the following:</w:t>
            </w:r>
          </w:p>
          <w:p w14:paraId="4B6A860D" w14:textId="77777777" w:rsidR="002C3426" w:rsidRPr="002C3426" w:rsidRDefault="002C3426" w:rsidP="002C3426">
            <w:pPr>
              <w:pStyle w:val="NormalWeb"/>
              <w:numPr>
                <w:ilvl w:val="0"/>
                <w:numId w:val="35"/>
              </w:numPr>
              <w:spacing w:after="0" w:afterAutospacing="0"/>
              <w:rPr>
                <w:rFonts w:ascii="Arial" w:hAnsi="Arial" w:cs="Arial"/>
                <w:sz w:val="22"/>
                <w:szCs w:val="22"/>
              </w:rPr>
            </w:pPr>
            <w:r w:rsidRPr="002C3426">
              <w:rPr>
                <w:rFonts w:ascii="Arial" w:hAnsi="Arial" w:cs="Arial"/>
                <w:color w:val="000000"/>
                <w:sz w:val="22"/>
                <w:szCs w:val="22"/>
              </w:rPr>
              <w:t xml:space="preserve">displaced homemakers; </w:t>
            </w:r>
          </w:p>
          <w:p w14:paraId="50A582CE"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low-income individuals</w:t>
            </w:r>
          </w:p>
          <w:p w14:paraId="7897E9C1"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Native American Indians</w:t>
            </w:r>
            <w:r w:rsidRPr="002C3426">
              <w:rPr>
                <w:rFonts w:ascii="Arial" w:hAnsi="Arial" w:cs="Arial"/>
                <w:sz w:val="22"/>
                <w:szCs w:val="22"/>
              </w:rPr>
              <w:t xml:space="preserve">, </w:t>
            </w:r>
            <w:r w:rsidRPr="002C3426">
              <w:rPr>
                <w:rFonts w:ascii="Arial" w:hAnsi="Arial" w:cs="Arial"/>
                <w:color w:val="000000"/>
                <w:sz w:val="22"/>
                <w:szCs w:val="22"/>
              </w:rPr>
              <w:t xml:space="preserve">Alaska Natives, and Native Hawaiians; </w:t>
            </w:r>
          </w:p>
          <w:p w14:paraId="76EF97E8"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individuals with disabilities</w:t>
            </w:r>
          </w:p>
          <w:p w14:paraId="60A396CA"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older individuals, i.e., those aged 55 or over</w:t>
            </w:r>
          </w:p>
          <w:p w14:paraId="7EDCB8CB"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ex-offenders</w:t>
            </w:r>
          </w:p>
          <w:p w14:paraId="74AA35C9"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homeless individuals; </w:t>
            </w:r>
          </w:p>
          <w:p w14:paraId="40DE4B8B"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youth who are in or have aged out of the foster care system; </w:t>
            </w:r>
          </w:p>
          <w:p w14:paraId="2B04E026"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individuals who are English language learners; </w:t>
            </w:r>
          </w:p>
          <w:p w14:paraId="7517E4AC"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individuals who have low levels of literacy</w:t>
            </w:r>
          </w:p>
          <w:p w14:paraId="30AC96A4"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individuals facing substantial cultural barriers</w:t>
            </w:r>
          </w:p>
          <w:p w14:paraId="681BEAAA"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eligible migrant and seasonal farmworkers [defined in Sec. 167(i) of WIOA]; xvi. individuals with two (2) years of exhausting lifetime eligibility under Temporary Assistance for Needy Families (TANF); </w:t>
            </w:r>
          </w:p>
          <w:p w14:paraId="12067AD7"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Single-parents (including single pregnant women); </w:t>
            </w:r>
          </w:p>
          <w:p w14:paraId="1DA33FFB" w14:textId="77777777" w:rsidR="002C3426"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long-term unemployed individuals; and </w:t>
            </w:r>
          </w:p>
          <w:p w14:paraId="12A13FD3" w14:textId="14D829AC" w:rsidR="000C3B55" w:rsidRPr="002C3426" w:rsidRDefault="002C3426" w:rsidP="002C3426">
            <w:pPr>
              <w:pStyle w:val="NormalWeb"/>
              <w:numPr>
                <w:ilvl w:val="0"/>
                <w:numId w:val="35"/>
              </w:numPr>
              <w:rPr>
                <w:rFonts w:ascii="Arial" w:hAnsi="Arial" w:cs="Arial"/>
                <w:sz w:val="22"/>
                <w:szCs w:val="22"/>
              </w:rPr>
            </w:pPr>
            <w:r w:rsidRPr="002C3426">
              <w:rPr>
                <w:rFonts w:ascii="Arial" w:hAnsi="Arial" w:cs="Arial"/>
                <w:color w:val="000000"/>
                <w:sz w:val="22"/>
                <w:szCs w:val="22"/>
              </w:rPr>
              <w:t xml:space="preserve">other groups determined by the governor to have barriers to employment. </w:t>
            </w:r>
          </w:p>
        </w:tc>
      </w:tr>
      <w:tr w:rsidR="000C3B55" w:rsidRPr="002C3426" w14:paraId="1F7BD3C1" w14:textId="77777777" w:rsidTr="000C3B55">
        <w:tc>
          <w:tcPr>
            <w:tcW w:w="445" w:type="dxa"/>
          </w:tcPr>
          <w:p w14:paraId="3CB4164E" w14:textId="7A2FE6E8" w:rsidR="000C3B55" w:rsidRPr="002C3426" w:rsidRDefault="002C3426" w:rsidP="00967A58">
            <w:pPr>
              <w:rPr>
                <w:rFonts w:ascii="Arial" w:hAnsi="Arial" w:cs="Arial"/>
                <w:sz w:val="22"/>
                <w:szCs w:val="22"/>
              </w:rPr>
            </w:pPr>
            <w:r>
              <w:rPr>
                <w:rFonts w:ascii="Arial" w:hAnsi="Arial" w:cs="Arial"/>
                <w:sz w:val="22"/>
                <w:szCs w:val="22"/>
              </w:rPr>
              <w:t>6.</w:t>
            </w:r>
          </w:p>
        </w:tc>
        <w:tc>
          <w:tcPr>
            <w:tcW w:w="8905" w:type="dxa"/>
          </w:tcPr>
          <w:p w14:paraId="63C88AA5" w14:textId="2B5E19F8" w:rsidR="000C3B55" w:rsidRPr="002C3426" w:rsidRDefault="002C3426" w:rsidP="00967A58">
            <w:pPr>
              <w:rPr>
                <w:rFonts w:ascii="Arial" w:hAnsi="Arial" w:cs="Arial"/>
              </w:rPr>
            </w:pPr>
            <w:r w:rsidRPr="002C3426">
              <w:rPr>
                <w:rFonts w:ascii="Arial" w:hAnsi="Arial" w:cs="Arial"/>
                <w:sz w:val="22"/>
                <w:szCs w:val="22"/>
              </w:rPr>
              <w:t>Training aligns with local and regional plan.</w:t>
            </w:r>
            <w:r w:rsidRPr="002C3426">
              <w:rPr>
                <w:rFonts w:ascii="Arial" w:hAnsi="Arial" w:cs="Arial"/>
              </w:rPr>
              <w:t xml:space="preserve"> </w:t>
            </w:r>
          </w:p>
        </w:tc>
      </w:tr>
    </w:tbl>
    <w:p w14:paraId="0BC9DF13" w14:textId="77777777" w:rsidR="009C3522" w:rsidRDefault="009C3522" w:rsidP="002C3426">
      <w:pPr>
        <w:rPr>
          <w:rFonts w:ascii="Arial" w:hAnsi="Arial" w:cs="Arial"/>
        </w:rPr>
      </w:pPr>
    </w:p>
    <w:p w14:paraId="0776F60E" w14:textId="418D7303" w:rsidR="001F2E38" w:rsidRPr="002C3426" w:rsidRDefault="001F2E38" w:rsidP="002C3426">
      <w:pPr>
        <w:rPr>
          <w:rFonts w:ascii="Arial" w:hAnsi="Arial" w:cs="Arial"/>
        </w:rPr>
      </w:pPr>
      <w:r>
        <w:rPr>
          <w:rFonts w:ascii="Arial" w:hAnsi="Arial" w:cs="Arial"/>
        </w:rPr>
        <w:t xml:space="preserve">If training is in response to a mass layoff (as identified in policy 25), the committee may exclude guidelines 2 and 3 in making a determination. </w:t>
      </w:r>
    </w:p>
    <w:p w14:paraId="2557F65D" w14:textId="4B0C3DAA" w:rsidR="00552594" w:rsidRDefault="00ED799E" w:rsidP="00552594">
      <w:pPr>
        <w:rPr>
          <w:rFonts w:ascii="Arial" w:hAnsi="Arial" w:cs="Arial"/>
        </w:rPr>
      </w:pPr>
      <w:r w:rsidRPr="00ED799E">
        <w:rPr>
          <w:rFonts w:ascii="Arial" w:hAnsi="Arial" w:cs="Arial"/>
        </w:rPr>
        <w:t>If the above criteria is met</w:t>
      </w:r>
      <w:r w:rsidR="00552594" w:rsidRPr="00ED799E">
        <w:rPr>
          <w:rFonts w:ascii="Arial" w:hAnsi="Arial" w:cs="Arial"/>
        </w:rPr>
        <w:t xml:space="preserve">, the Strategic Planning Committee can than make a recommendation to the Greater Nebraska Workforce Development Board (GNWDB). If the motion is approved. The following steps will be taken. </w:t>
      </w:r>
    </w:p>
    <w:tbl>
      <w:tblPr>
        <w:tblStyle w:val="TableGrid"/>
        <w:tblW w:w="0" w:type="auto"/>
        <w:tblLook w:val="04A0" w:firstRow="1" w:lastRow="0" w:firstColumn="1" w:lastColumn="0" w:noHBand="0" w:noVBand="1"/>
      </w:tblPr>
      <w:tblGrid>
        <w:gridCol w:w="449"/>
        <w:gridCol w:w="8901"/>
      </w:tblGrid>
      <w:tr w:rsidR="00757EE1" w:rsidRPr="001F2E38" w14:paraId="3E0B2F25" w14:textId="77777777" w:rsidTr="00757EE1">
        <w:tc>
          <w:tcPr>
            <w:tcW w:w="445" w:type="dxa"/>
          </w:tcPr>
          <w:p w14:paraId="54D03BE1" w14:textId="29788F9B" w:rsidR="00757EE1" w:rsidRPr="001F2E38" w:rsidRDefault="00757EE1" w:rsidP="00552594">
            <w:pPr>
              <w:rPr>
                <w:rFonts w:ascii="Arial" w:hAnsi="Arial" w:cs="Arial"/>
                <w:sz w:val="22"/>
                <w:szCs w:val="22"/>
              </w:rPr>
            </w:pPr>
            <w:r w:rsidRPr="001F2E38">
              <w:rPr>
                <w:rFonts w:ascii="Arial" w:hAnsi="Arial" w:cs="Arial"/>
                <w:sz w:val="22"/>
                <w:szCs w:val="22"/>
              </w:rPr>
              <w:t>1.</w:t>
            </w:r>
          </w:p>
        </w:tc>
        <w:tc>
          <w:tcPr>
            <w:tcW w:w="8905" w:type="dxa"/>
          </w:tcPr>
          <w:p w14:paraId="53960A04" w14:textId="52F0C6F6" w:rsidR="00757EE1" w:rsidRPr="001F2E38" w:rsidRDefault="00757EE1" w:rsidP="00552594">
            <w:pPr>
              <w:rPr>
                <w:rFonts w:ascii="Arial" w:hAnsi="Arial" w:cs="Arial"/>
                <w:sz w:val="22"/>
                <w:szCs w:val="22"/>
              </w:rPr>
            </w:pPr>
            <w:r w:rsidRPr="001F2E38">
              <w:rPr>
                <w:rFonts w:ascii="Arial" w:hAnsi="Arial" w:cs="Arial"/>
                <w:sz w:val="22"/>
                <w:szCs w:val="22"/>
              </w:rPr>
              <w:t xml:space="preserve">Contracting for classes will follow the Department of Administrative Services procurement policy. </w:t>
            </w:r>
          </w:p>
        </w:tc>
      </w:tr>
      <w:tr w:rsidR="00757EE1" w:rsidRPr="001F2E38" w14:paraId="37B05405" w14:textId="77777777" w:rsidTr="00757EE1">
        <w:tc>
          <w:tcPr>
            <w:tcW w:w="445" w:type="dxa"/>
          </w:tcPr>
          <w:p w14:paraId="4E1C634D" w14:textId="1129E369" w:rsidR="00757EE1" w:rsidRPr="001F2E38" w:rsidRDefault="00757EE1" w:rsidP="00552594">
            <w:pPr>
              <w:rPr>
                <w:rFonts w:ascii="Arial" w:hAnsi="Arial" w:cs="Arial"/>
                <w:sz w:val="22"/>
                <w:szCs w:val="22"/>
              </w:rPr>
            </w:pPr>
            <w:r w:rsidRPr="001F2E38">
              <w:rPr>
                <w:rFonts w:ascii="Arial" w:hAnsi="Arial" w:cs="Arial"/>
                <w:sz w:val="22"/>
                <w:szCs w:val="22"/>
              </w:rPr>
              <w:t>2.</w:t>
            </w:r>
          </w:p>
        </w:tc>
        <w:tc>
          <w:tcPr>
            <w:tcW w:w="8905" w:type="dxa"/>
          </w:tcPr>
          <w:p w14:paraId="321A580A" w14:textId="53ED235C" w:rsidR="00757EE1" w:rsidRPr="001F2E38" w:rsidRDefault="00757EE1" w:rsidP="00552594">
            <w:pPr>
              <w:rPr>
                <w:rFonts w:ascii="Arial" w:hAnsi="Arial" w:cs="Arial"/>
                <w:sz w:val="22"/>
                <w:szCs w:val="22"/>
              </w:rPr>
            </w:pPr>
            <w:r w:rsidRPr="001F2E38">
              <w:rPr>
                <w:rFonts w:ascii="Arial" w:hAnsi="Arial" w:cs="Arial"/>
                <w:sz w:val="22"/>
                <w:szCs w:val="22"/>
              </w:rPr>
              <w:t xml:space="preserve">A thirty (30) day public comment period will be allowed for interested providers. </w:t>
            </w:r>
          </w:p>
        </w:tc>
      </w:tr>
      <w:tr w:rsidR="00757EE1" w:rsidRPr="001F2E38" w14:paraId="6F2301DB" w14:textId="77777777" w:rsidTr="00757EE1">
        <w:tc>
          <w:tcPr>
            <w:tcW w:w="445" w:type="dxa"/>
          </w:tcPr>
          <w:p w14:paraId="02941C3C" w14:textId="0F05EC2B" w:rsidR="00757EE1" w:rsidRPr="001F2E38" w:rsidRDefault="00757EE1" w:rsidP="00552594">
            <w:pPr>
              <w:rPr>
                <w:rFonts w:ascii="Arial" w:hAnsi="Arial" w:cs="Arial"/>
                <w:sz w:val="22"/>
                <w:szCs w:val="22"/>
              </w:rPr>
            </w:pPr>
            <w:r w:rsidRPr="001F2E38">
              <w:rPr>
                <w:rFonts w:ascii="Arial" w:hAnsi="Arial" w:cs="Arial"/>
                <w:sz w:val="22"/>
                <w:szCs w:val="22"/>
              </w:rPr>
              <w:t>3.</w:t>
            </w:r>
          </w:p>
        </w:tc>
        <w:tc>
          <w:tcPr>
            <w:tcW w:w="8905" w:type="dxa"/>
          </w:tcPr>
          <w:p w14:paraId="070BEA2A" w14:textId="50C77ED5" w:rsidR="00757EE1" w:rsidRPr="001F2E38" w:rsidRDefault="00757EE1" w:rsidP="00552594">
            <w:pPr>
              <w:rPr>
                <w:rFonts w:ascii="Arial" w:hAnsi="Arial" w:cs="Arial"/>
                <w:sz w:val="22"/>
                <w:szCs w:val="22"/>
              </w:rPr>
            </w:pPr>
            <w:r w:rsidRPr="001F2E38">
              <w:rPr>
                <w:rFonts w:ascii="Arial" w:hAnsi="Arial" w:cs="Arial"/>
                <w:sz w:val="22"/>
                <w:szCs w:val="22"/>
              </w:rPr>
              <w:t xml:space="preserve">Priority will be given to training provider’s institution that have already been approved by NDOL but the individual program was not.  </w:t>
            </w:r>
          </w:p>
        </w:tc>
      </w:tr>
      <w:tr w:rsidR="00757EE1" w:rsidRPr="001F2E38" w14:paraId="2788AD4D" w14:textId="77777777" w:rsidTr="00757EE1">
        <w:tc>
          <w:tcPr>
            <w:tcW w:w="445" w:type="dxa"/>
          </w:tcPr>
          <w:p w14:paraId="2D0B3306" w14:textId="7141E9DC" w:rsidR="00757EE1" w:rsidRPr="001F2E38" w:rsidRDefault="00757EE1" w:rsidP="00552594">
            <w:pPr>
              <w:rPr>
                <w:rFonts w:ascii="Arial" w:hAnsi="Arial" w:cs="Arial"/>
                <w:sz w:val="22"/>
                <w:szCs w:val="22"/>
              </w:rPr>
            </w:pPr>
            <w:r w:rsidRPr="001F2E38">
              <w:rPr>
                <w:rFonts w:ascii="Arial" w:hAnsi="Arial" w:cs="Arial"/>
                <w:sz w:val="22"/>
                <w:szCs w:val="22"/>
              </w:rPr>
              <w:t>4.</w:t>
            </w:r>
          </w:p>
        </w:tc>
        <w:tc>
          <w:tcPr>
            <w:tcW w:w="8905" w:type="dxa"/>
          </w:tcPr>
          <w:p w14:paraId="21B13D48" w14:textId="09F8D10D" w:rsidR="00757EE1" w:rsidRPr="001F2E38" w:rsidRDefault="00757EE1" w:rsidP="00552594">
            <w:pPr>
              <w:rPr>
                <w:rFonts w:ascii="Arial" w:hAnsi="Arial" w:cs="Arial"/>
                <w:sz w:val="22"/>
                <w:szCs w:val="22"/>
              </w:rPr>
            </w:pPr>
            <w:r w:rsidRPr="001F2E38">
              <w:rPr>
                <w:rFonts w:ascii="Arial" w:hAnsi="Arial" w:cs="Arial"/>
                <w:sz w:val="22"/>
                <w:szCs w:val="22"/>
              </w:rPr>
              <w:t>The training provider is required  to:</w:t>
            </w:r>
          </w:p>
        </w:tc>
      </w:tr>
      <w:tr w:rsidR="00757EE1" w:rsidRPr="001F2E38" w14:paraId="7314EECF" w14:textId="77777777" w:rsidTr="00757EE1">
        <w:tc>
          <w:tcPr>
            <w:tcW w:w="445" w:type="dxa"/>
          </w:tcPr>
          <w:p w14:paraId="416D3B03" w14:textId="2405BE5A" w:rsidR="00757EE1" w:rsidRPr="001F2E38" w:rsidRDefault="007E59E5" w:rsidP="00552594">
            <w:pPr>
              <w:rPr>
                <w:rFonts w:ascii="Arial" w:hAnsi="Arial" w:cs="Arial"/>
                <w:sz w:val="22"/>
                <w:szCs w:val="22"/>
              </w:rPr>
            </w:pPr>
            <w:r w:rsidRPr="001F2E38">
              <w:rPr>
                <w:rFonts w:ascii="Arial" w:hAnsi="Arial" w:cs="Arial"/>
                <w:sz w:val="22"/>
                <w:szCs w:val="22"/>
              </w:rPr>
              <w:t>A.</w:t>
            </w:r>
          </w:p>
        </w:tc>
        <w:tc>
          <w:tcPr>
            <w:tcW w:w="8905" w:type="dxa"/>
          </w:tcPr>
          <w:p w14:paraId="167DCC57" w14:textId="76EFD714" w:rsidR="00757EE1" w:rsidRPr="001F2E38" w:rsidRDefault="00757EE1" w:rsidP="00552594">
            <w:pPr>
              <w:rPr>
                <w:rFonts w:ascii="Arial" w:hAnsi="Arial" w:cs="Arial"/>
                <w:sz w:val="22"/>
                <w:szCs w:val="22"/>
              </w:rPr>
            </w:pPr>
            <w:r w:rsidRPr="001F2E38">
              <w:rPr>
                <w:rFonts w:ascii="Arial" w:hAnsi="Arial" w:cs="Arial"/>
                <w:sz w:val="22"/>
                <w:szCs w:val="22"/>
              </w:rPr>
              <w:t>Demonstrate adequate management, administrative capacity, and resources (financial and human) necessary for the proper operation of the Training Provider and to meet obligations to students</w:t>
            </w:r>
          </w:p>
        </w:tc>
      </w:tr>
      <w:tr w:rsidR="00757EE1" w:rsidRPr="001F2E38" w14:paraId="03EFBBD1" w14:textId="77777777" w:rsidTr="00757EE1">
        <w:tc>
          <w:tcPr>
            <w:tcW w:w="445" w:type="dxa"/>
          </w:tcPr>
          <w:p w14:paraId="051A66CD" w14:textId="0B645425" w:rsidR="00757EE1" w:rsidRPr="001F2E38" w:rsidRDefault="007E59E5" w:rsidP="00552594">
            <w:pPr>
              <w:rPr>
                <w:rFonts w:ascii="Arial" w:hAnsi="Arial" w:cs="Arial"/>
                <w:sz w:val="22"/>
                <w:szCs w:val="22"/>
              </w:rPr>
            </w:pPr>
            <w:r w:rsidRPr="001F2E38">
              <w:rPr>
                <w:rFonts w:ascii="Arial" w:hAnsi="Arial" w:cs="Arial"/>
                <w:sz w:val="22"/>
                <w:szCs w:val="22"/>
              </w:rPr>
              <w:t>B.</w:t>
            </w:r>
          </w:p>
        </w:tc>
        <w:tc>
          <w:tcPr>
            <w:tcW w:w="8905" w:type="dxa"/>
          </w:tcPr>
          <w:p w14:paraId="60E673A7" w14:textId="6A1B05C9" w:rsidR="00757EE1" w:rsidRPr="001F2E38" w:rsidRDefault="00757EE1" w:rsidP="00552594">
            <w:pPr>
              <w:rPr>
                <w:rFonts w:ascii="Arial" w:hAnsi="Arial" w:cs="Arial"/>
                <w:sz w:val="22"/>
                <w:szCs w:val="22"/>
              </w:rPr>
            </w:pPr>
            <w:r w:rsidRPr="001F2E38">
              <w:rPr>
                <w:rFonts w:ascii="Arial" w:hAnsi="Arial" w:cs="Arial"/>
                <w:sz w:val="22"/>
                <w:szCs w:val="22"/>
              </w:rPr>
              <w:t>Demonstrate that all educational programs are sound and current and that the employment community is actively involved in discussions about how to develop and maintain programs that are relevant, current, and accurately reflect industry requirements</w:t>
            </w:r>
          </w:p>
        </w:tc>
      </w:tr>
      <w:tr w:rsidR="00757EE1" w:rsidRPr="001F2E38" w14:paraId="4AA7F817" w14:textId="77777777" w:rsidTr="00757EE1">
        <w:tc>
          <w:tcPr>
            <w:tcW w:w="445" w:type="dxa"/>
          </w:tcPr>
          <w:p w14:paraId="1F04F4DA" w14:textId="22FCD3EE" w:rsidR="00757EE1" w:rsidRPr="001F2E38" w:rsidRDefault="007E59E5" w:rsidP="00552594">
            <w:pPr>
              <w:rPr>
                <w:rFonts w:ascii="Arial" w:hAnsi="Arial" w:cs="Arial"/>
                <w:sz w:val="22"/>
                <w:szCs w:val="22"/>
              </w:rPr>
            </w:pPr>
            <w:r w:rsidRPr="001F2E38">
              <w:rPr>
                <w:rFonts w:ascii="Arial" w:hAnsi="Arial" w:cs="Arial"/>
                <w:sz w:val="22"/>
                <w:szCs w:val="22"/>
              </w:rPr>
              <w:t>C.</w:t>
            </w:r>
          </w:p>
        </w:tc>
        <w:tc>
          <w:tcPr>
            <w:tcW w:w="8905" w:type="dxa"/>
          </w:tcPr>
          <w:p w14:paraId="1C322451" w14:textId="11DF0A96" w:rsidR="00757EE1" w:rsidRPr="001F2E38" w:rsidRDefault="00757EE1" w:rsidP="00552594">
            <w:pPr>
              <w:rPr>
                <w:rFonts w:ascii="Arial" w:hAnsi="Arial" w:cs="Arial"/>
                <w:sz w:val="22"/>
                <w:szCs w:val="22"/>
              </w:rPr>
            </w:pPr>
            <w:r w:rsidRPr="001F2E38">
              <w:rPr>
                <w:rFonts w:ascii="Arial" w:hAnsi="Arial" w:cs="Arial"/>
                <w:sz w:val="22"/>
                <w:szCs w:val="22"/>
              </w:rPr>
              <w:t>Demonstrate that faculty have the appropriate prior work experience, education and teaching qualifications necessary to support the institutions educational programs</w:t>
            </w:r>
          </w:p>
        </w:tc>
      </w:tr>
      <w:tr w:rsidR="00757EE1" w:rsidRPr="001F2E38" w14:paraId="2FD56DCD" w14:textId="77777777" w:rsidTr="00757EE1">
        <w:tc>
          <w:tcPr>
            <w:tcW w:w="445" w:type="dxa"/>
          </w:tcPr>
          <w:p w14:paraId="28E55AD5" w14:textId="585B05AF" w:rsidR="00757EE1" w:rsidRPr="001F2E38" w:rsidRDefault="007E59E5" w:rsidP="00552594">
            <w:pPr>
              <w:rPr>
                <w:rFonts w:ascii="Arial" w:hAnsi="Arial" w:cs="Arial"/>
                <w:sz w:val="22"/>
                <w:szCs w:val="22"/>
              </w:rPr>
            </w:pPr>
            <w:r w:rsidRPr="001F2E38">
              <w:rPr>
                <w:rFonts w:ascii="Arial" w:hAnsi="Arial" w:cs="Arial"/>
                <w:sz w:val="22"/>
                <w:szCs w:val="22"/>
              </w:rPr>
              <w:t>D.</w:t>
            </w:r>
          </w:p>
        </w:tc>
        <w:tc>
          <w:tcPr>
            <w:tcW w:w="8905" w:type="dxa"/>
          </w:tcPr>
          <w:p w14:paraId="01DA5401" w14:textId="53DF8D1F" w:rsidR="00757EE1" w:rsidRPr="001F2E38" w:rsidRDefault="00757EE1" w:rsidP="00552594">
            <w:pPr>
              <w:rPr>
                <w:rFonts w:ascii="Arial" w:hAnsi="Arial" w:cs="Arial"/>
                <w:sz w:val="22"/>
                <w:szCs w:val="22"/>
              </w:rPr>
            </w:pPr>
            <w:r w:rsidRPr="001F2E38">
              <w:rPr>
                <w:rFonts w:ascii="Arial" w:hAnsi="Arial" w:cs="Arial"/>
                <w:sz w:val="22"/>
                <w:szCs w:val="22"/>
              </w:rPr>
              <w:t>Demonstrate appropriate admissions requirements, recruitment practices, student services, and monitoring of student progress toward graduation</w:t>
            </w:r>
          </w:p>
        </w:tc>
      </w:tr>
      <w:tr w:rsidR="00757EE1" w:rsidRPr="001F2E38" w14:paraId="38344C3D" w14:textId="77777777" w:rsidTr="00757EE1">
        <w:tc>
          <w:tcPr>
            <w:tcW w:w="445" w:type="dxa"/>
          </w:tcPr>
          <w:p w14:paraId="2471DB7E" w14:textId="36F5FB91" w:rsidR="00757EE1" w:rsidRPr="001F2E38" w:rsidRDefault="007E59E5" w:rsidP="00552594">
            <w:pPr>
              <w:rPr>
                <w:rFonts w:ascii="Arial" w:hAnsi="Arial" w:cs="Arial"/>
                <w:sz w:val="22"/>
                <w:szCs w:val="22"/>
              </w:rPr>
            </w:pPr>
            <w:r w:rsidRPr="001F2E38">
              <w:rPr>
                <w:rFonts w:ascii="Arial" w:hAnsi="Arial" w:cs="Arial"/>
                <w:sz w:val="22"/>
                <w:szCs w:val="22"/>
              </w:rPr>
              <w:lastRenderedPageBreak/>
              <w:t>E.</w:t>
            </w:r>
          </w:p>
        </w:tc>
        <w:tc>
          <w:tcPr>
            <w:tcW w:w="8905" w:type="dxa"/>
          </w:tcPr>
          <w:p w14:paraId="3EFE2DEA" w14:textId="2673E14D" w:rsidR="00757EE1" w:rsidRPr="001F2E38" w:rsidRDefault="00757EE1" w:rsidP="00552594">
            <w:pPr>
              <w:rPr>
                <w:rFonts w:ascii="Arial" w:hAnsi="Arial" w:cs="Arial"/>
                <w:sz w:val="22"/>
                <w:szCs w:val="22"/>
              </w:rPr>
            </w:pPr>
            <w:r w:rsidRPr="001F2E38">
              <w:rPr>
                <w:rFonts w:ascii="Arial" w:hAnsi="Arial" w:cs="Arial"/>
                <w:sz w:val="22"/>
                <w:szCs w:val="22"/>
              </w:rPr>
              <w:t>Measure student outcomes quantitatively in areas such as rates of graduation and graduate employment and to use graduation rates and employment rates as a means to focus qualitative efforts toward continuous institutional effectiveness and improvement</w:t>
            </w:r>
          </w:p>
        </w:tc>
      </w:tr>
      <w:tr w:rsidR="00757EE1" w:rsidRPr="001F2E38" w14:paraId="29689911" w14:textId="77777777" w:rsidTr="00757EE1">
        <w:tc>
          <w:tcPr>
            <w:tcW w:w="445" w:type="dxa"/>
          </w:tcPr>
          <w:p w14:paraId="2C5B531D" w14:textId="15C0C039" w:rsidR="00757EE1" w:rsidRPr="001F2E38" w:rsidRDefault="007E59E5" w:rsidP="00552594">
            <w:pPr>
              <w:rPr>
                <w:rFonts w:ascii="Arial" w:hAnsi="Arial" w:cs="Arial"/>
                <w:sz w:val="22"/>
                <w:szCs w:val="22"/>
              </w:rPr>
            </w:pPr>
            <w:r w:rsidRPr="001F2E38">
              <w:rPr>
                <w:rFonts w:ascii="Arial" w:hAnsi="Arial" w:cs="Arial"/>
                <w:sz w:val="22"/>
                <w:szCs w:val="22"/>
              </w:rPr>
              <w:t>F.</w:t>
            </w:r>
          </w:p>
        </w:tc>
        <w:tc>
          <w:tcPr>
            <w:tcW w:w="8905" w:type="dxa"/>
          </w:tcPr>
          <w:p w14:paraId="46905062" w14:textId="5E04555A" w:rsidR="00757EE1" w:rsidRPr="001F2E38" w:rsidRDefault="00757EE1" w:rsidP="00552594">
            <w:pPr>
              <w:rPr>
                <w:rFonts w:ascii="Arial" w:hAnsi="Arial" w:cs="Arial"/>
                <w:sz w:val="22"/>
                <w:szCs w:val="22"/>
              </w:rPr>
            </w:pPr>
            <w:r w:rsidRPr="001F2E38">
              <w:rPr>
                <w:rFonts w:ascii="Arial" w:hAnsi="Arial" w:cs="Arial"/>
                <w:sz w:val="22"/>
                <w:szCs w:val="22"/>
              </w:rPr>
              <w:t>Demonstrate an institutional mission, vision and/or goals that support the preparation of students to meet local workforce needs</w:t>
            </w:r>
          </w:p>
        </w:tc>
      </w:tr>
      <w:tr w:rsidR="00757EE1" w:rsidRPr="001F2E38" w14:paraId="4C6CDC0A" w14:textId="77777777" w:rsidTr="00757EE1">
        <w:tc>
          <w:tcPr>
            <w:tcW w:w="445" w:type="dxa"/>
          </w:tcPr>
          <w:p w14:paraId="163BA7AD" w14:textId="674B586D" w:rsidR="00757EE1" w:rsidRPr="001F2E38" w:rsidRDefault="007E59E5" w:rsidP="00552594">
            <w:pPr>
              <w:rPr>
                <w:rFonts w:ascii="Arial" w:hAnsi="Arial" w:cs="Arial"/>
                <w:sz w:val="22"/>
                <w:szCs w:val="22"/>
              </w:rPr>
            </w:pPr>
            <w:r w:rsidRPr="001F2E38">
              <w:rPr>
                <w:rFonts w:ascii="Arial" w:hAnsi="Arial" w:cs="Arial"/>
                <w:sz w:val="22"/>
                <w:szCs w:val="22"/>
              </w:rPr>
              <w:t>G.</w:t>
            </w:r>
          </w:p>
        </w:tc>
        <w:tc>
          <w:tcPr>
            <w:tcW w:w="8905" w:type="dxa"/>
          </w:tcPr>
          <w:p w14:paraId="099C4E19" w14:textId="67A8A31C" w:rsidR="00757EE1" w:rsidRPr="001F2E38" w:rsidRDefault="00757EE1" w:rsidP="00552594">
            <w:pPr>
              <w:rPr>
                <w:rFonts w:ascii="Arial" w:hAnsi="Arial" w:cs="Arial"/>
                <w:sz w:val="22"/>
                <w:szCs w:val="22"/>
              </w:rPr>
            </w:pPr>
            <w:r w:rsidRPr="001F2E38">
              <w:rPr>
                <w:rFonts w:ascii="Arial" w:hAnsi="Arial" w:cs="Arial"/>
                <w:sz w:val="22"/>
                <w:szCs w:val="22"/>
              </w:rPr>
              <w:t>Demonstrate a commitment to internal services, such as career placement, that support student growth and career support</w:t>
            </w:r>
          </w:p>
        </w:tc>
      </w:tr>
      <w:tr w:rsidR="007E59E5" w:rsidRPr="001F2E38" w14:paraId="06845958" w14:textId="77777777" w:rsidTr="00757EE1">
        <w:tc>
          <w:tcPr>
            <w:tcW w:w="445" w:type="dxa"/>
          </w:tcPr>
          <w:p w14:paraId="6039053A" w14:textId="508C3BAB" w:rsidR="007E59E5" w:rsidRPr="001F2E38" w:rsidRDefault="007E59E5" w:rsidP="00552594">
            <w:pPr>
              <w:rPr>
                <w:rFonts w:ascii="Arial" w:hAnsi="Arial" w:cs="Arial"/>
                <w:sz w:val="22"/>
                <w:szCs w:val="22"/>
              </w:rPr>
            </w:pPr>
            <w:r w:rsidRPr="001F2E38">
              <w:rPr>
                <w:rFonts w:ascii="Arial" w:hAnsi="Arial" w:cs="Arial"/>
                <w:sz w:val="22"/>
                <w:szCs w:val="22"/>
              </w:rPr>
              <w:t>H.</w:t>
            </w:r>
          </w:p>
        </w:tc>
        <w:tc>
          <w:tcPr>
            <w:tcW w:w="8905" w:type="dxa"/>
          </w:tcPr>
          <w:p w14:paraId="068A6654" w14:textId="09640AF0" w:rsidR="007E59E5" w:rsidRPr="001F2E38" w:rsidRDefault="007E59E5" w:rsidP="00552594">
            <w:pPr>
              <w:rPr>
                <w:rFonts w:ascii="Arial" w:hAnsi="Arial" w:cs="Arial"/>
                <w:sz w:val="22"/>
                <w:szCs w:val="22"/>
              </w:rPr>
            </w:pPr>
            <w:r w:rsidRPr="001F2E38">
              <w:rPr>
                <w:rFonts w:ascii="Arial" w:hAnsi="Arial" w:cs="Arial"/>
                <w:sz w:val="22"/>
                <w:szCs w:val="22"/>
              </w:rPr>
              <w:t>Demonstrate commitment to local workforce development initiatives by describing current partnerships with local community agencies and business partners</w:t>
            </w:r>
          </w:p>
        </w:tc>
      </w:tr>
      <w:tr w:rsidR="00757EE1" w:rsidRPr="001F2E38" w14:paraId="29D59217" w14:textId="77777777" w:rsidTr="00757EE1">
        <w:tc>
          <w:tcPr>
            <w:tcW w:w="445" w:type="dxa"/>
          </w:tcPr>
          <w:p w14:paraId="6D8AF598" w14:textId="2ED9E271" w:rsidR="00757EE1" w:rsidRPr="001F2E38" w:rsidRDefault="007E59E5" w:rsidP="00552594">
            <w:pPr>
              <w:rPr>
                <w:rFonts w:ascii="Arial" w:hAnsi="Arial" w:cs="Arial"/>
                <w:sz w:val="22"/>
                <w:szCs w:val="22"/>
              </w:rPr>
            </w:pPr>
            <w:r w:rsidRPr="001F2E38">
              <w:rPr>
                <w:rFonts w:ascii="Arial" w:hAnsi="Arial" w:cs="Arial"/>
                <w:sz w:val="22"/>
                <w:szCs w:val="22"/>
              </w:rPr>
              <w:t>I.</w:t>
            </w:r>
          </w:p>
        </w:tc>
        <w:tc>
          <w:tcPr>
            <w:tcW w:w="8905" w:type="dxa"/>
          </w:tcPr>
          <w:p w14:paraId="06FCC31B" w14:textId="2FED76F7" w:rsidR="00757EE1" w:rsidRPr="001F2E38" w:rsidRDefault="007E59E5" w:rsidP="00552594">
            <w:pPr>
              <w:rPr>
                <w:rFonts w:ascii="Arial" w:hAnsi="Arial" w:cs="Arial"/>
                <w:sz w:val="22"/>
                <w:szCs w:val="22"/>
              </w:rPr>
            </w:pPr>
            <w:r w:rsidRPr="001F2E38">
              <w:rPr>
                <w:rFonts w:ascii="Arial" w:hAnsi="Arial" w:cs="Arial"/>
                <w:sz w:val="22"/>
                <w:szCs w:val="22"/>
              </w:rPr>
              <w:t xml:space="preserve">Commit to compliance to all WIOA compulsory assurances </w:t>
            </w:r>
          </w:p>
        </w:tc>
      </w:tr>
    </w:tbl>
    <w:p w14:paraId="65682E4F" w14:textId="77777777" w:rsidR="00EA508E" w:rsidRDefault="00EA508E"/>
    <w:sectPr w:rsidR="00EA50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5884" w14:textId="77777777" w:rsidR="00E54BD1" w:rsidRDefault="00E54BD1" w:rsidP="00E54BD1">
      <w:pPr>
        <w:spacing w:after="0" w:line="240" w:lineRule="auto"/>
      </w:pPr>
      <w:r>
        <w:separator/>
      </w:r>
    </w:p>
  </w:endnote>
  <w:endnote w:type="continuationSeparator" w:id="0">
    <w:p w14:paraId="0BE84AA9" w14:textId="77777777"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2F39E153" w14:textId="4E3FC646"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D07F64">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D07F64">
              <w:rPr>
                <w:b/>
                <w:bCs/>
                <w:noProof/>
                <w:sz w:val="20"/>
                <w:szCs w:val="20"/>
              </w:rPr>
              <w:t>3</w:t>
            </w:r>
            <w:r w:rsidRPr="009D2F91">
              <w:rPr>
                <w:b/>
                <w:bCs/>
                <w:sz w:val="20"/>
                <w:szCs w:val="20"/>
              </w:rPr>
              <w:fldChar w:fldCharType="end"/>
            </w:r>
          </w:p>
        </w:sdtContent>
      </w:sdt>
    </w:sdtContent>
  </w:sdt>
  <w:p w14:paraId="5A85EC77" w14:textId="77777777" w:rsidR="009D2F91" w:rsidRDefault="009D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185A" w14:textId="77777777" w:rsidR="00E54BD1" w:rsidRDefault="00E54BD1" w:rsidP="00E54BD1">
      <w:pPr>
        <w:spacing w:after="0" w:line="240" w:lineRule="auto"/>
      </w:pPr>
      <w:r>
        <w:separator/>
      </w:r>
    </w:p>
  </w:footnote>
  <w:footnote w:type="continuationSeparator" w:id="0">
    <w:p w14:paraId="0F553ED1" w14:textId="77777777" w:rsidR="00E54BD1" w:rsidRDefault="00E54BD1" w:rsidP="00E54BD1">
      <w:pPr>
        <w:spacing w:after="0" w:line="240" w:lineRule="auto"/>
      </w:pPr>
      <w:r>
        <w:continuationSeparator/>
      </w:r>
    </w:p>
  </w:footnote>
  <w:footnote w:id="1">
    <w:p w14:paraId="7258BCAE" w14:textId="77777777" w:rsidR="00B44B60" w:rsidRDefault="00B44B60" w:rsidP="00B44B60">
      <w:pPr>
        <w:pStyle w:val="FootnoteText"/>
      </w:pPr>
      <w:r>
        <w:rPr>
          <w:rStyle w:val="FootnoteReference"/>
        </w:rPr>
        <w:footnoteRef/>
      </w:r>
      <w:r>
        <w:t xml:space="preserve"> </w:t>
      </w:r>
      <w:r w:rsidRPr="007B0DE0">
        <w:rPr>
          <w:rFonts w:cs="Arial"/>
          <w:color w:val="000000"/>
        </w:rPr>
        <w:t>20 CFR § 680.320(a)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A0BB" w14:textId="77777777" w:rsidR="00E54BD1" w:rsidRDefault="00E54BD1">
    <w:pPr>
      <w:pStyle w:val="Header"/>
    </w:pPr>
  </w:p>
  <w:p w14:paraId="28F40492" w14:textId="77777777" w:rsidR="00A65917" w:rsidRDefault="00A65917">
    <w:pPr>
      <w:pStyle w:val="Header"/>
    </w:pPr>
  </w:p>
  <w:p w14:paraId="34601853" w14:textId="77777777" w:rsidR="00E54BD1" w:rsidRDefault="00E54BD1">
    <w:pPr>
      <w:pStyle w:val="Header"/>
    </w:pPr>
    <w:r>
      <w:rPr>
        <w:rFonts w:cs="Arial"/>
        <w:b/>
        <w:noProof/>
        <w:color w:val="008080"/>
      </w:rPr>
      <w:drawing>
        <wp:anchor distT="0" distB="0" distL="114300" distR="114300" simplePos="0" relativeHeight="251659264" behindDoc="1" locked="0" layoutInCell="1" allowOverlap="1" wp14:anchorId="6C14E6C8" wp14:editId="78E66570">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9CE7159" wp14:editId="3FDF4052">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14:paraId="65920656" w14:textId="77777777" w:rsidR="00E54BD1" w:rsidRPr="00E54BD1" w:rsidRDefault="00E54BD1" w:rsidP="00E54BD1">
    <w:pPr>
      <w:pStyle w:val="Header"/>
      <w:ind w:right="-18"/>
      <w:rPr>
        <w:rFonts w:cs="Arial"/>
        <w:b/>
      </w:rPr>
    </w:pPr>
    <w:r w:rsidRPr="00E54BD1">
      <w:rPr>
        <w:rFonts w:cs="Arial"/>
        <w:b/>
      </w:rPr>
      <w:tab/>
      <w:t xml:space="preserve">                                       </w:t>
    </w:r>
  </w:p>
  <w:p w14:paraId="2E09F772" w14:textId="77777777"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2D32"/>
    <w:multiLevelType w:val="hybridMultilevel"/>
    <w:tmpl w:val="799CEC4C"/>
    <w:lvl w:ilvl="0" w:tplc="4F084D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25E0"/>
    <w:multiLevelType w:val="hybridMultilevel"/>
    <w:tmpl w:val="3F46C164"/>
    <w:lvl w:ilvl="0" w:tplc="4DE00C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6B9"/>
    <w:multiLevelType w:val="hybridMultilevel"/>
    <w:tmpl w:val="0CB0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E443C"/>
    <w:multiLevelType w:val="hybridMultilevel"/>
    <w:tmpl w:val="9B5C8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F48E7"/>
    <w:multiLevelType w:val="hybridMultilevel"/>
    <w:tmpl w:val="2B74890C"/>
    <w:lvl w:ilvl="0" w:tplc="08A610C8">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252A18"/>
    <w:multiLevelType w:val="hybridMultilevel"/>
    <w:tmpl w:val="0E30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5517CA"/>
    <w:multiLevelType w:val="hybridMultilevel"/>
    <w:tmpl w:val="2CCCF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227D4"/>
    <w:multiLevelType w:val="hybridMultilevel"/>
    <w:tmpl w:val="47E0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53551"/>
    <w:multiLevelType w:val="hybridMultilevel"/>
    <w:tmpl w:val="2A2E7BEC"/>
    <w:lvl w:ilvl="0" w:tplc="04090017">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901ED"/>
    <w:multiLevelType w:val="hybridMultilevel"/>
    <w:tmpl w:val="36E6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E19D2"/>
    <w:multiLevelType w:val="hybridMultilevel"/>
    <w:tmpl w:val="9334D784"/>
    <w:lvl w:ilvl="0" w:tplc="04090001">
      <w:start w:val="1"/>
      <w:numFmt w:val="bullet"/>
      <w:lvlText w:val=""/>
      <w:lvlJc w:val="left"/>
      <w:pPr>
        <w:ind w:left="720" w:hanging="720"/>
      </w:pPr>
      <w:rPr>
        <w:rFonts w:ascii="Symbol" w:hAnsi="Symbo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62D05"/>
    <w:multiLevelType w:val="hybridMultilevel"/>
    <w:tmpl w:val="3DCE767A"/>
    <w:lvl w:ilvl="0" w:tplc="8074839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67CD5"/>
    <w:multiLevelType w:val="hybridMultilevel"/>
    <w:tmpl w:val="C01450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81180E"/>
    <w:multiLevelType w:val="hybridMultilevel"/>
    <w:tmpl w:val="32B248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B72E55"/>
    <w:multiLevelType w:val="hybridMultilevel"/>
    <w:tmpl w:val="73DE9170"/>
    <w:lvl w:ilvl="0" w:tplc="231647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CF69CA"/>
    <w:multiLevelType w:val="hybridMultilevel"/>
    <w:tmpl w:val="8498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F0A31"/>
    <w:multiLevelType w:val="hybridMultilevel"/>
    <w:tmpl w:val="F88E20CA"/>
    <w:lvl w:ilvl="0" w:tplc="A6689164">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9B6AAB"/>
    <w:multiLevelType w:val="hybridMultilevel"/>
    <w:tmpl w:val="B0A2E5EE"/>
    <w:lvl w:ilvl="0" w:tplc="D3A274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33A2A"/>
    <w:multiLevelType w:val="hybridMultilevel"/>
    <w:tmpl w:val="5A5CCF3A"/>
    <w:lvl w:ilvl="0" w:tplc="A05C792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16701F"/>
    <w:multiLevelType w:val="hybridMultilevel"/>
    <w:tmpl w:val="29F8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63E33"/>
    <w:multiLevelType w:val="hybridMultilevel"/>
    <w:tmpl w:val="9B5C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2"/>
  </w:num>
  <w:num w:numId="2">
    <w:abstractNumId w:val="30"/>
  </w:num>
  <w:num w:numId="3">
    <w:abstractNumId w:val="28"/>
  </w:num>
  <w:num w:numId="4">
    <w:abstractNumId w:val="14"/>
  </w:num>
  <w:num w:numId="5">
    <w:abstractNumId w:val="17"/>
  </w:num>
  <w:num w:numId="6">
    <w:abstractNumId w:val="3"/>
  </w:num>
  <w:num w:numId="7">
    <w:abstractNumId w:val="19"/>
  </w:num>
  <w:num w:numId="8">
    <w:abstractNumId w:val="34"/>
  </w:num>
  <w:num w:numId="9">
    <w:abstractNumId w:val="16"/>
  </w:num>
  <w:num w:numId="10">
    <w:abstractNumId w:val="5"/>
  </w:num>
  <w:num w:numId="11">
    <w:abstractNumId w:val="0"/>
  </w:num>
  <w:num w:numId="12">
    <w:abstractNumId w:val="10"/>
  </w:num>
  <w:num w:numId="13">
    <w:abstractNumId w:val="27"/>
  </w:num>
  <w:num w:numId="14">
    <w:abstractNumId w:val="23"/>
  </w:num>
  <w:num w:numId="15">
    <w:abstractNumId w:val="29"/>
  </w:num>
  <w:num w:numId="16">
    <w:abstractNumId w:val="9"/>
  </w:num>
  <w:num w:numId="17">
    <w:abstractNumId w:val="11"/>
  </w:num>
  <w:num w:numId="18">
    <w:abstractNumId w:val="4"/>
  </w:num>
  <w:num w:numId="19">
    <w:abstractNumId w:val="32"/>
  </w:num>
  <w:num w:numId="20">
    <w:abstractNumId w:val="8"/>
  </w:num>
  <w:num w:numId="21">
    <w:abstractNumId w:val="24"/>
  </w:num>
  <w:num w:numId="22">
    <w:abstractNumId w:val="21"/>
  </w:num>
  <w:num w:numId="23">
    <w:abstractNumId w:val="13"/>
  </w:num>
  <w:num w:numId="24">
    <w:abstractNumId w:val="31"/>
  </w:num>
  <w:num w:numId="25">
    <w:abstractNumId w:val="26"/>
  </w:num>
  <w:num w:numId="26">
    <w:abstractNumId w:val="1"/>
  </w:num>
  <w:num w:numId="27">
    <w:abstractNumId w:val="2"/>
  </w:num>
  <w:num w:numId="28">
    <w:abstractNumId w:val="22"/>
  </w:num>
  <w:num w:numId="29">
    <w:abstractNumId w:val="7"/>
  </w:num>
  <w:num w:numId="30">
    <w:abstractNumId w:val="25"/>
  </w:num>
  <w:num w:numId="31">
    <w:abstractNumId w:val="15"/>
  </w:num>
  <w:num w:numId="32">
    <w:abstractNumId w:val="33"/>
  </w:num>
  <w:num w:numId="33">
    <w:abstractNumId w:val="6"/>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22F04"/>
    <w:rsid w:val="000260C6"/>
    <w:rsid w:val="000969A3"/>
    <w:rsid w:val="000C3B55"/>
    <w:rsid w:val="000C4C60"/>
    <w:rsid w:val="001215D7"/>
    <w:rsid w:val="00131C86"/>
    <w:rsid w:val="001657D1"/>
    <w:rsid w:val="001812AD"/>
    <w:rsid w:val="00183C71"/>
    <w:rsid w:val="0018509E"/>
    <w:rsid w:val="0019008E"/>
    <w:rsid w:val="001A589D"/>
    <w:rsid w:val="001A6CBC"/>
    <w:rsid w:val="001D1593"/>
    <w:rsid w:val="001F2E38"/>
    <w:rsid w:val="002220B2"/>
    <w:rsid w:val="00271DC0"/>
    <w:rsid w:val="002C3426"/>
    <w:rsid w:val="0039572C"/>
    <w:rsid w:val="003A4656"/>
    <w:rsid w:val="003B7519"/>
    <w:rsid w:val="00406137"/>
    <w:rsid w:val="004201F7"/>
    <w:rsid w:val="00432EA0"/>
    <w:rsid w:val="0043573B"/>
    <w:rsid w:val="00441CAA"/>
    <w:rsid w:val="00445104"/>
    <w:rsid w:val="004C3629"/>
    <w:rsid w:val="004E704B"/>
    <w:rsid w:val="00507A57"/>
    <w:rsid w:val="00552594"/>
    <w:rsid w:val="005B075B"/>
    <w:rsid w:val="005B0793"/>
    <w:rsid w:val="005F379F"/>
    <w:rsid w:val="00673781"/>
    <w:rsid w:val="00674612"/>
    <w:rsid w:val="00685C25"/>
    <w:rsid w:val="006C784E"/>
    <w:rsid w:val="006F2509"/>
    <w:rsid w:val="00727818"/>
    <w:rsid w:val="0073736B"/>
    <w:rsid w:val="00750CEC"/>
    <w:rsid w:val="00757EE1"/>
    <w:rsid w:val="00765B53"/>
    <w:rsid w:val="007A6585"/>
    <w:rsid w:val="007D6F57"/>
    <w:rsid w:val="007E1897"/>
    <w:rsid w:val="007E59E5"/>
    <w:rsid w:val="008034CF"/>
    <w:rsid w:val="00827F17"/>
    <w:rsid w:val="008431CA"/>
    <w:rsid w:val="008A58F6"/>
    <w:rsid w:val="00911612"/>
    <w:rsid w:val="009231B2"/>
    <w:rsid w:val="00967A58"/>
    <w:rsid w:val="0098020E"/>
    <w:rsid w:val="009C3522"/>
    <w:rsid w:val="009D2F91"/>
    <w:rsid w:val="009E5E0D"/>
    <w:rsid w:val="00A65917"/>
    <w:rsid w:val="00A906AE"/>
    <w:rsid w:val="00A93C42"/>
    <w:rsid w:val="00AD709F"/>
    <w:rsid w:val="00AE5F04"/>
    <w:rsid w:val="00B22035"/>
    <w:rsid w:val="00B44B60"/>
    <w:rsid w:val="00B86E64"/>
    <w:rsid w:val="00BE7F01"/>
    <w:rsid w:val="00C02217"/>
    <w:rsid w:val="00C06578"/>
    <w:rsid w:val="00C2545E"/>
    <w:rsid w:val="00C44891"/>
    <w:rsid w:val="00D07F64"/>
    <w:rsid w:val="00D119EC"/>
    <w:rsid w:val="00D90CD7"/>
    <w:rsid w:val="00D95D82"/>
    <w:rsid w:val="00DA155F"/>
    <w:rsid w:val="00DE4042"/>
    <w:rsid w:val="00E124F8"/>
    <w:rsid w:val="00E36755"/>
    <w:rsid w:val="00E42B5B"/>
    <w:rsid w:val="00E54BD1"/>
    <w:rsid w:val="00E7754D"/>
    <w:rsid w:val="00EA508E"/>
    <w:rsid w:val="00ED3E98"/>
    <w:rsid w:val="00ED799E"/>
    <w:rsid w:val="00EE64DF"/>
    <w:rsid w:val="00F528B1"/>
    <w:rsid w:val="00F54F2D"/>
    <w:rsid w:val="00F6054E"/>
    <w:rsid w:val="00F87254"/>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F7FA"/>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A731-DFE9-4F97-A253-1A14A88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Ideus, Rick</cp:lastModifiedBy>
  <cp:revision>2</cp:revision>
  <cp:lastPrinted>2017-01-19T13:26:00Z</cp:lastPrinted>
  <dcterms:created xsi:type="dcterms:W3CDTF">2018-12-20T17:53:00Z</dcterms:created>
  <dcterms:modified xsi:type="dcterms:W3CDTF">2018-12-20T17:53:00Z</dcterms:modified>
</cp:coreProperties>
</file>