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3F237" w14:textId="77777777" w:rsidR="003D5B2B" w:rsidRDefault="003D5B2B">
      <w:pPr>
        <w:pStyle w:val="BodyText"/>
        <w:rPr>
          <w:rFonts w:ascii="Times New Roman"/>
          <w:sz w:val="20"/>
        </w:rPr>
      </w:pPr>
    </w:p>
    <w:p w14:paraId="4EF00052" w14:textId="77777777" w:rsidR="003D5B2B" w:rsidRDefault="003D5B2B">
      <w:pPr>
        <w:pStyle w:val="BodyText"/>
        <w:spacing w:before="1"/>
        <w:rPr>
          <w:rFonts w:ascii="Times New Roman"/>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3D5B2B" w14:paraId="786910A5" w14:textId="77777777">
        <w:trPr>
          <w:trHeight w:val="978"/>
        </w:trPr>
        <w:tc>
          <w:tcPr>
            <w:tcW w:w="9350" w:type="dxa"/>
            <w:shd w:val="clear" w:color="auto" w:fill="001F5F"/>
          </w:tcPr>
          <w:p w14:paraId="6849298C" w14:textId="77777777" w:rsidR="003D5B2B" w:rsidRDefault="00895CDD">
            <w:pPr>
              <w:pStyle w:val="TableParagraph"/>
              <w:spacing w:line="458" w:lineRule="exact"/>
              <w:ind w:right="2542"/>
              <w:jc w:val="center"/>
              <w:rPr>
                <w:b/>
                <w:sz w:val="40"/>
              </w:rPr>
            </w:pPr>
            <w:r>
              <w:rPr>
                <w:b/>
                <w:color w:val="FFFFFF"/>
                <w:sz w:val="40"/>
              </w:rPr>
              <w:t>Guidance Document</w:t>
            </w:r>
          </w:p>
          <w:p w14:paraId="59CBBEF1" w14:textId="77777777" w:rsidR="003D5B2B" w:rsidRDefault="00895CDD">
            <w:pPr>
              <w:pStyle w:val="TableParagraph"/>
              <w:spacing w:line="275" w:lineRule="exact"/>
              <w:ind w:right="2545"/>
              <w:jc w:val="center"/>
              <w:rPr>
                <w:i/>
                <w:sz w:val="24"/>
              </w:rPr>
            </w:pPr>
            <w:r>
              <w:rPr>
                <w:i/>
                <w:color w:val="FFFFFF"/>
                <w:sz w:val="24"/>
              </w:rPr>
              <w:t>Pursuant to Neb. Rev. Stat. §84-901.03</w:t>
            </w:r>
          </w:p>
        </w:tc>
      </w:tr>
      <w:tr w:rsidR="003D5B2B" w14:paraId="0BDEE8D5" w14:textId="77777777">
        <w:trPr>
          <w:trHeight w:val="3542"/>
        </w:trPr>
        <w:tc>
          <w:tcPr>
            <w:tcW w:w="9350" w:type="dxa"/>
          </w:tcPr>
          <w:p w14:paraId="71B075C3" w14:textId="77777777" w:rsidR="003D5B2B" w:rsidRDefault="003D5B2B">
            <w:pPr>
              <w:pStyle w:val="TableParagraph"/>
              <w:spacing w:before="7"/>
              <w:ind w:left="0"/>
              <w:rPr>
                <w:rFonts w:ascii="Times New Roman"/>
                <w:sz w:val="27"/>
              </w:rPr>
            </w:pPr>
          </w:p>
          <w:p w14:paraId="19A2A25E" w14:textId="77777777" w:rsidR="00D1714A" w:rsidRDefault="00895CDD" w:rsidP="003F6B61">
            <w:pPr>
              <w:pStyle w:val="TableParagraph"/>
              <w:ind w:left="107" w:right="120"/>
              <w:jc w:val="both"/>
              <w:rPr>
                <w:sz w:val="28"/>
              </w:rPr>
            </w:pPr>
            <w:r>
              <w:rPr>
                <w:color w:val="001F5F"/>
                <w:sz w:val="28"/>
              </w:rPr>
              <w:t>This guidance document is advisory in nature but is binding on an agency until amended by such agency. A guidance document does not include internal procedural documents that only affect the internal operation of the agency and does not impose additional requirements or penalties on regulated parties or include confidential information or rules and regulations made in accordance with the Administrative Procedures Act. If you believe that this guidance document imposes additional requirement or penalties on regulated parties, you may request a review of the</w:t>
            </w:r>
            <w:r>
              <w:rPr>
                <w:color w:val="001F5F"/>
                <w:spacing w:val="-3"/>
                <w:sz w:val="28"/>
              </w:rPr>
              <w:t xml:space="preserve"> </w:t>
            </w:r>
            <w:r>
              <w:rPr>
                <w:color w:val="001F5F"/>
                <w:sz w:val="28"/>
              </w:rPr>
              <w:t>document.</w:t>
            </w:r>
          </w:p>
          <w:p w14:paraId="0F3BB29D" w14:textId="77777777" w:rsidR="00D1714A" w:rsidRPr="00D1714A" w:rsidRDefault="00D1714A" w:rsidP="00D1714A"/>
          <w:p w14:paraId="003FE8F0" w14:textId="77777777" w:rsidR="00D1714A" w:rsidRPr="00D1714A" w:rsidRDefault="00D1714A" w:rsidP="00D1714A"/>
          <w:p w14:paraId="2ED7DFA2" w14:textId="77777777" w:rsidR="00D1714A" w:rsidRPr="00D1714A" w:rsidRDefault="00D1714A" w:rsidP="00D1714A"/>
          <w:p w14:paraId="2AAB1648" w14:textId="77777777" w:rsidR="00D1714A" w:rsidRPr="00D1714A" w:rsidRDefault="00D1714A" w:rsidP="00D1714A"/>
          <w:p w14:paraId="00829483" w14:textId="77777777" w:rsidR="00D1714A" w:rsidRPr="00D1714A" w:rsidRDefault="00D1714A" w:rsidP="00D1714A"/>
          <w:p w14:paraId="2C881C97" w14:textId="77777777" w:rsidR="00D1714A" w:rsidRPr="00D1714A" w:rsidRDefault="00D1714A" w:rsidP="00D1714A"/>
          <w:p w14:paraId="7CBD8CC4" w14:textId="77777777" w:rsidR="00D1714A" w:rsidRPr="00D1714A" w:rsidRDefault="00D1714A" w:rsidP="00D1714A"/>
          <w:p w14:paraId="0ECE4496" w14:textId="77777777" w:rsidR="00D1714A" w:rsidRPr="00D1714A" w:rsidRDefault="00D1714A" w:rsidP="00D1714A"/>
          <w:p w14:paraId="1A29F6A7" w14:textId="77777777" w:rsidR="00D1714A" w:rsidRPr="00D1714A" w:rsidRDefault="00D1714A" w:rsidP="00D1714A"/>
          <w:p w14:paraId="56E81512" w14:textId="77777777" w:rsidR="00D1714A" w:rsidRPr="00D1714A" w:rsidRDefault="00D1714A" w:rsidP="00D1714A"/>
          <w:p w14:paraId="207D3A6B" w14:textId="77777777" w:rsidR="00D1714A" w:rsidRPr="00D1714A" w:rsidRDefault="00D1714A" w:rsidP="00D1714A"/>
          <w:p w14:paraId="7F36DD67" w14:textId="77777777" w:rsidR="00D1714A" w:rsidRPr="00D1714A" w:rsidRDefault="00D1714A" w:rsidP="00D1714A"/>
          <w:p w14:paraId="76D8C402" w14:textId="77777777" w:rsidR="00D1714A" w:rsidRPr="00D1714A" w:rsidRDefault="00D1714A" w:rsidP="00D1714A"/>
          <w:p w14:paraId="74E469D9" w14:textId="77777777" w:rsidR="00D1714A" w:rsidRPr="00D1714A" w:rsidRDefault="00D1714A" w:rsidP="00D1714A"/>
          <w:p w14:paraId="79BDA409" w14:textId="77777777" w:rsidR="00D1714A" w:rsidRPr="00D1714A" w:rsidRDefault="00D1714A" w:rsidP="00D1714A"/>
          <w:p w14:paraId="7B4AF75C" w14:textId="77777777" w:rsidR="00D1714A" w:rsidRPr="00D1714A" w:rsidRDefault="00D1714A" w:rsidP="00D1714A"/>
          <w:p w14:paraId="06007BA3" w14:textId="77777777" w:rsidR="00D1714A" w:rsidRPr="00D1714A" w:rsidRDefault="00D1714A" w:rsidP="00D1714A"/>
          <w:p w14:paraId="5B93CF64" w14:textId="77777777" w:rsidR="00D1714A" w:rsidRPr="00D1714A" w:rsidRDefault="00D1714A" w:rsidP="00D1714A"/>
          <w:p w14:paraId="50880B7D" w14:textId="77777777" w:rsidR="00D1714A" w:rsidRPr="00D1714A" w:rsidRDefault="00D1714A" w:rsidP="00D1714A"/>
          <w:p w14:paraId="0E2DA44A" w14:textId="77777777" w:rsidR="00D1714A" w:rsidRPr="00D1714A" w:rsidRDefault="00D1714A" w:rsidP="00D1714A"/>
          <w:p w14:paraId="08045140" w14:textId="77777777" w:rsidR="00D1714A" w:rsidRPr="00D1714A" w:rsidRDefault="00D1714A" w:rsidP="00D1714A"/>
          <w:p w14:paraId="28ADB7BA" w14:textId="77777777" w:rsidR="00D1714A" w:rsidRPr="00D1714A" w:rsidRDefault="00D1714A" w:rsidP="00D1714A"/>
          <w:p w14:paraId="2B6E2C3E" w14:textId="77777777" w:rsidR="00D1714A" w:rsidRPr="00D1714A" w:rsidRDefault="00D1714A" w:rsidP="00D1714A"/>
          <w:p w14:paraId="3CA41FEA" w14:textId="77777777" w:rsidR="00D1714A" w:rsidRPr="00D1714A" w:rsidRDefault="00D1714A" w:rsidP="00D1714A"/>
          <w:p w14:paraId="7F69223B" w14:textId="77777777" w:rsidR="00D1714A" w:rsidRPr="00D1714A" w:rsidRDefault="00D1714A" w:rsidP="00D1714A"/>
          <w:p w14:paraId="7F53238C" w14:textId="77777777" w:rsidR="00D1714A" w:rsidRPr="00D1714A" w:rsidRDefault="00D1714A" w:rsidP="00D1714A"/>
          <w:p w14:paraId="3387A447" w14:textId="77777777" w:rsidR="00D1714A" w:rsidRPr="00D1714A" w:rsidRDefault="00D1714A" w:rsidP="00D1714A"/>
          <w:p w14:paraId="75B5F95A" w14:textId="77777777" w:rsidR="00D1714A" w:rsidRPr="00D1714A" w:rsidRDefault="00D1714A" w:rsidP="00D1714A"/>
          <w:p w14:paraId="612BEF6C" w14:textId="77777777" w:rsidR="00D1714A" w:rsidRPr="00D1714A" w:rsidRDefault="00D1714A" w:rsidP="00D1714A"/>
          <w:p w14:paraId="6D8CFAA4" w14:textId="77777777" w:rsidR="00D1714A" w:rsidRPr="00D1714A" w:rsidRDefault="00D1714A" w:rsidP="00D1714A"/>
          <w:p w14:paraId="547861CF" w14:textId="77777777" w:rsidR="00D1714A" w:rsidRPr="00D1714A" w:rsidRDefault="00D1714A" w:rsidP="00D1714A"/>
          <w:p w14:paraId="294D2255" w14:textId="77777777" w:rsidR="00D1714A" w:rsidRDefault="00D1714A" w:rsidP="00D1714A"/>
          <w:p w14:paraId="0F2AF272" w14:textId="77777777" w:rsidR="00D1714A" w:rsidRPr="00D1714A" w:rsidRDefault="00D1714A" w:rsidP="00D1714A"/>
          <w:p w14:paraId="7DA3B18A" w14:textId="77777777" w:rsidR="003D5B2B" w:rsidRPr="00D1714A" w:rsidRDefault="00D1714A" w:rsidP="00D1714A">
            <w:pPr>
              <w:tabs>
                <w:tab w:val="left" w:pos="5171"/>
              </w:tabs>
            </w:pPr>
            <w:r>
              <w:tab/>
            </w:r>
          </w:p>
        </w:tc>
      </w:tr>
    </w:tbl>
    <w:p w14:paraId="0196E3DD" w14:textId="77777777" w:rsidR="003D5B2B" w:rsidRDefault="003D5B2B">
      <w:pPr>
        <w:rPr>
          <w:sz w:val="28"/>
        </w:rPr>
        <w:sectPr w:rsidR="003D5B2B">
          <w:footerReference w:type="default" r:id="rId7"/>
          <w:type w:val="continuous"/>
          <w:pgSz w:w="12240" w:h="15840"/>
          <w:pgMar w:top="1500" w:right="1320" w:bottom="880" w:left="1340" w:header="720" w:footer="688" w:gutter="0"/>
          <w:pgNumType w:start="1"/>
          <w:cols w:space="720"/>
        </w:sectPr>
      </w:pPr>
    </w:p>
    <w:p w14:paraId="14B03668" w14:textId="6BE955D0" w:rsidR="003D5B2B" w:rsidRDefault="00E2554C" w:rsidP="00E42BE8">
      <w:pPr>
        <w:spacing w:before="1"/>
        <w:ind w:right="119"/>
        <w:rPr>
          <w:sz w:val="32"/>
        </w:rPr>
      </w:pPr>
      <w:r>
        <w:rPr>
          <w:sz w:val="32"/>
        </w:rPr>
        <w:lastRenderedPageBreak/>
        <w:t>Good Cause for Additional Time for Filing Required Documents Under the Pandemic Unemployment Assistance Program</w:t>
      </w:r>
    </w:p>
    <w:p w14:paraId="4723F233" w14:textId="77777777" w:rsidR="003D5B2B" w:rsidRDefault="003D5B2B">
      <w:pPr>
        <w:pStyle w:val="BodyText"/>
        <w:spacing w:before="10"/>
        <w:rPr>
          <w:sz w:val="13"/>
        </w:rPr>
      </w:pPr>
    </w:p>
    <w:p w14:paraId="490F5945" w14:textId="77777777" w:rsidR="003D5B2B" w:rsidRPr="00B415EA" w:rsidRDefault="00895CDD" w:rsidP="009F3AC4">
      <w:pPr>
        <w:pStyle w:val="BodyText"/>
        <w:spacing w:before="94"/>
      </w:pPr>
      <w:r w:rsidRPr="00B415EA">
        <w:rPr>
          <w:u w:val="single" w:color="333333"/>
        </w:rPr>
        <w:t>DISCLAIMER:</w:t>
      </w:r>
    </w:p>
    <w:p w14:paraId="6CE079D7" w14:textId="77777777" w:rsidR="003D5B2B" w:rsidRPr="00B415EA" w:rsidRDefault="003D5B2B" w:rsidP="009F3AC4">
      <w:pPr>
        <w:pStyle w:val="BodyText"/>
        <w:spacing w:before="10"/>
        <w:rPr>
          <w:sz w:val="13"/>
        </w:rPr>
      </w:pPr>
    </w:p>
    <w:p w14:paraId="7AAF1BC5" w14:textId="4FFC52DE" w:rsidR="003D5B2B" w:rsidRPr="00B415EA" w:rsidRDefault="00895CDD" w:rsidP="009F3AC4">
      <w:pPr>
        <w:pStyle w:val="BodyText"/>
        <w:spacing w:before="94"/>
        <w:ind w:right="166"/>
        <w:jc w:val="both"/>
      </w:pPr>
      <w:r w:rsidRPr="00B415EA">
        <w:t xml:space="preserve">This Guidance Document is not intended to take the place of the law, but is intended to provide individuals with a general understanding of some of the requirements related to the Nebraska Department of Labor’s </w:t>
      </w:r>
      <w:r w:rsidR="004F3BA5">
        <w:t>good cause provisions for submitting required documents late</w:t>
      </w:r>
      <w:r w:rsidR="002376AC">
        <w:t xml:space="preserve"> under the </w:t>
      </w:r>
      <w:r w:rsidR="002376AC" w:rsidRPr="002376AC">
        <w:t>Pandemic Unemployment Assistance</w:t>
      </w:r>
      <w:r w:rsidR="002376AC">
        <w:t xml:space="preserve"> (PUA)</w:t>
      </w:r>
      <w:r w:rsidR="004F3BA5">
        <w:t xml:space="preserve"> program.</w:t>
      </w:r>
      <w:r w:rsidRPr="00B415EA">
        <w:t xml:space="preserve"> For additional information</w:t>
      </w:r>
      <w:r w:rsidR="004C0779">
        <w:t>,</w:t>
      </w:r>
      <w:r w:rsidRPr="00B415EA">
        <w:t xml:space="preserve"> individuals may consult the </w:t>
      </w:r>
      <w:r w:rsidR="002376AC">
        <w:t>CARES Act (Pub. L. 116-136)</w:t>
      </w:r>
      <w:r w:rsidR="004F3BA5">
        <w:t xml:space="preserve">, </w:t>
      </w:r>
      <w:r w:rsidR="002376AC">
        <w:t xml:space="preserve">the Continued Assistance Act (Pub. L. 116-260), and the corresponding federal Unemployment Insurance Program letters, </w:t>
      </w:r>
      <w:r w:rsidRPr="00B415EA">
        <w:t xml:space="preserve">or visit </w:t>
      </w:r>
      <w:r w:rsidRPr="00247B5D">
        <w:rPr>
          <w:i/>
          <w:u w:val="single"/>
        </w:rPr>
        <w:t>dol.nebraska.gov</w:t>
      </w:r>
      <w:r w:rsidRPr="00B415EA">
        <w:t xml:space="preserve"> where information is provided on the Nebraska Employment Security Law </w:t>
      </w:r>
      <w:r w:rsidR="004C0779">
        <w:t>(NESL) (</w:t>
      </w:r>
      <w:r w:rsidRPr="00B415EA">
        <w:rPr>
          <w:i/>
        </w:rPr>
        <w:t xml:space="preserve">Neb. Rev. Stat. </w:t>
      </w:r>
      <w:r w:rsidRPr="00B415EA">
        <w:t>§§48-601 through 48-683) and portions of the Nebraska Administrative Code related to NESL.</w:t>
      </w:r>
    </w:p>
    <w:p w14:paraId="2AC95FB6" w14:textId="77777777" w:rsidR="003D5B2B" w:rsidRPr="00B415EA" w:rsidRDefault="003D5B2B">
      <w:pPr>
        <w:pStyle w:val="BodyText"/>
        <w:rPr>
          <w:sz w:val="24"/>
        </w:rPr>
      </w:pPr>
    </w:p>
    <w:p w14:paraId="3F17A93F" w14:textId="77777777" w:rsidR="004F3BA5" w:rsidRPr="004F3BA5" w:rsidRDefault="004F3BA5" w:rsidP="004F3BA5">
      <w:pPr>
        <w:pStyle w:val="BodyText"/>
        <w:spacing w:before="207"/>
        <w:ind w:left="100"/>
        <w:rPr>
          <w:u w:val="single"/>
        </w:rPr>
      </w:pPr>
      <w:r w:rsidRPr="004F3BA5">
        <w:rPr>
          <w:u w:val="single"/>
        </w:rPr>
        <w:t>Good cause for additional time for filing required PUA documents</w:t>
      </w:r>
    </w:p>
    <w:p w14:paraId="09C4A072" w14:textId="090930CD" w:rsidR="004F3BA5" w:rsidRPr="004F3BA5" w:rsidRDefault="004F3BA5" w:rsidP="004F3BA5">
      <w:pPr>
        <w:pStyle w:val="BodyText"/>
        <w:spacing w:before="207"/>
        <w:ind w:left="100"/>
        <w:jc w:val="both"/>
      </w:pPr>
      <w:r w:rsidRPr="004F3BA5">
        <w:t xml:space="preserve">Additional time for verification of employment or self-employment for PUA eligibility will only be allowed for good cause. For purposes of this verification, good cause will not be granted for requests received more than twenty-one (21) </w:t>
      </w:r>
      <w:r>
        <w:t xml:space="preserve">calendar </w:t>
      </w:r>
      <w:r w:rsidRPr="004F3BA5">
        <w:t>days after the original due date for provision of the verification information. Good cause will be decided on a case-by-case basis and limited to circumstances where the individual can establish good cause for not being able to provide documentation in a timely manner. Good cause may be found in the following scenarios:</w:t>
      </w:r>
    </w:p>
    <w:p w14:paraId="574BDEA0" w14:textId="77777777" w:rsidR="004F3BA5" w:rsidRPr="004F3BA5" w:rsidRDefault="004F3BA5" w:rsidP="004F3BA5">
      <w:pPr>
        <w:pStyle w:val="BodyText"/>
        <w:numPr>
          <w:ilvl w:val="0"/>
          <w:numId w:val="1"/>
        </w:numPr>
        <w:spacing w:before="207"/>
        <w:jc w:val="both"/>
      </w:pPr>
      <w:r w:rsidRPr="004F3BA5">
        <w:t>The individual requested necessary documentation from the employer within the original timeframe, but had not received the requested documents;</w:t>
      </w:r>
    </w:p>
    <w:p w14:paraId="14A87638" w14:textId="77777777" w:rsidR="004F3BA5" w:rsidRPr="004F3BA5" w:rsidRDefault="004F3BA5" w:rsidP="004F3BA5">
      <w:pPr>
        <w:pStyle w:val="BodyText"/>
        <w:numPr>
          <w:ilvl w:val="0"/>
          <w:numId w:val="1"/>
        </w:numPr>
        <w:spacing w:before="207"/>
        <w:jc w:val="both"/>
      </w:pPr>
      <w:r w:rsidRPr="004F3BA5">
        <w:t>The individual’s tax documents for 2020 were not available in the original timeframe;</w:t>
      </w:r>
    </w:p>
    <w:p w14:paraId="1DCC10DF" w14:textId="77777777" w:rsidR="004F3BA5" w:rsidRPr="004F3BA5" w:rsidRDefault="004F3BA5" w:rsidP="004F3BA5">
      <w:pPr>
        <w:pStyle w:val="BodyText"/>
        <w:numPr>
          <w:ilvl w:val="0"/>
          <w:numId w:val="1"/>
        </w:numPr>
        <w:spacing w:before="207"/>
        <w:jc w:val="both"/>
      </w:pPr>
      <w:r w:rsidRPr="004F3BA5">
        <w:t>The individual can prove documents were destroyed in a natural disaster; or</w:t>
      </w:r>
    </w:p>
    <w:p w14:paraId="38AFFC46" w14:textId="56B7AEA0" w:rsidR="004F3BA5" w:rsidRPr="004F3BA5" w:rsidRDefault="00E2204C" w:rsidP="004F3BA5">
      <w:pPr>
        <w:pStyle w:val="BodyText"/>
        <w:numPr>
          <w:ilvl w:val="0"/>
          <w:numId w:val="1"/>
        </w:numPr>
        <w:spacing w:before="207"/>
        <w:jc w:val="both"/>
      </w:pPr>
      <w:r>
        <w:t>When e</w:t>
      </w:r>
      <w:r w:rsidR="004F3BA5" w:rsidRPr="004F3BA5">
        <w:t>quity and good conscience require.</w:t>
      </w:r>
    </w:p>
    <w:p w14:paraId="6080F2F1" w14:textId="77777777" w:rsidR="005D261F" w:rsidRPr="002376AC" w:rsidRDefault="005D261F" w:rsidP="002376AC">
      <w:pPr>
        <w:pStyle w:val="BodyText"/>
        <w:spacing w:before="207"/>
        <w:ind w:left="100"/>
      </w:pPr>
    </w:p>
    <w:sectPr w:rsidR="005D261F" w:rsidRPr="002376AC" w:rsidSect="00D1714A">
      <w:pgSz w:w="12240" w:h="15840"/>
      <w:pgMar w:top="1360" w:right="1320" w:bottom="880" w:left="1340" w:header="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707CD" w14:textId="77777777" w:rsidR="006811B1" w:rsidRDefault="006811B1">
      <w:r>
        <w:separator/>
      </w:r>
    </w:p>
  </w:endnote>
  <w:endnote w:type="continuationSeparator" w:id="0">
    <w:p w14:paraId="1A1107E7" w14:textId="77777777" w:rsidR="006811B1" w:rsidRDefault="0068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24D1" w14:textId="77777777" w:rsidR="003D5B2B" w:rsidRPr="00B415EA" w:rsidRDefault="00B415EA" w:rsidP="00B415EA">
    <w:pPr>
      <w:pStyle w:val="Footer"/>
      <w:jc w:val="center"/>
    </w:pPr>
    <w:r w:rsidRPr="00B415EA">
      <w:t xml:space="preserve">Page </w:t>
    </w:r>
    <w:r w:rsidRPr="00B415EA">
      <w:rPr>
        <w:bCs/>
      </w:rPr>
      <w:fldChar w:fldCharType="begin"/>
    </w:r>
    <w:r w:rsidRPr="00B415EA">
      <w:rPr>
        <w:bCs/>
      </w:rPr>
      <w:instrText xml:space="preserve"> PAGE  \* Arabic  \* MERGEFORMAT </w:instrText>
    </w:r>
    <w:r w:rsidRPr="00B415EA">
      <w:rPr>
        <w:bCs/>
      </w:rPr>
      <w:fldChar w:fldCharType="separate"/>
    </w:r>
    <w:r w:rsidR="00247B5D">
      <w:rPr>
        <w:bCs/>
        <w:noProof/>
      </w:rPr>
      <w:t>1</w:t>
    </w:r>
    <w:r w:rsidRPr="00B415EA">
      <w:rPr>
        <w:bCs/>
      </w:rPr>
      <w:fldChar w:fldCharType="end"/>
    </w:r>
    <w:r w:rsidRPr="00B415EA">
      <w:t xml:space="preserve"> of </w:t>
    </w:r>
    <w:r w:rsidRPr="00B415EA">
      <w:rPr>
        <w:bCs/>
      </w:rPr>
      <w:fldChar w:fldCharType="begin"/>
    </w:r>
    <w:r w:rsidRPr="00B415EA">
      <w:rPr>
        <w:bCs/>
      </w:rPr>
      <w:instrText xml:space="preserve"> NUMPAGES  \* Arabic  \* MERGEFORMAT </w:instrText>
    </w:r>
    <w:r w:rsidRPr="00B415EA">
      <w:rPr>
        <w:bCs/>
      </w:rPr>
      <w:fldChar w:fldCharType="separate"/>
    </w:r>
    <w:r w:rsidR="00247B5D">
      <w:rPr>
        <w:bCs/>
        <w:noProof/>
      </w:rPr>
      <w:t>2</w:t>
    </w:r>
    <w:r w:rsidRPr="00B415E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4EA9B" w14:textId="77777777" w:rsidR="006811B1" w:rsidRDefault="006811B1">
      <w:r>
        <w:separator/>
      </w:r>
    </w:p>
  </w:footnote>
  <w:footnote w:type="continuationSeparator" w:id="0">
    <w:p w14:paraId="6EF138F0" w14:textId="77777777" w:rsidR="006811B1" w:rsidRDefault="00681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5603"/>
    <w:multiLevelType w:val="hybridMultilevel"/>
    <w:tmpl w:val="DCA8C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256BC0"/>
    <w:multiLevelType w:val="hybridMultilevel"/>
    <w:tmpl w:val="1C904452"/>
    <w:lvl w:ilvl="0" w:tplc="C574A1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2B"/>
    <w:rsid w:val="00152EBA"/>
    <w:rsid w:val="002376AC"/>
    <w:rsid w:val="00247B5D"/>
    <w:rsid w:val="00396E71"/>
    <w:rsid w:val="003D5B2B"/>
    <w:rsid w:val="003F6B61"/>
    <w:rsid w:val="004340AD"/>
    <w:rsid w:val="00434701"/>
    <w:rsid w:val="00470A5C"/>
    <w:rsid w:val="004C0779"/>
    <w:rsid w:val="004F3BA5"/>
    <w:rsid w:val="0059507C"/>
    <w:rsid w:val="005D261F"/>
    <w:rsid w:val="006811B1"/>
    <w:rsid w:val="00895CDD"/>
    <w:rsid w:val="009F3AC4"/>
    <w:rsid w:val="00A82EF9"/>
    <w:rsid w:val="00AA544C"/>
    <w:rsid w:val="00B415EA"/>
    <w:rsid w:val="00BC04C4"/>
    <w:rsid w:val="00D1714A"/>
    <w:rsid w:val="00E2204C"/>
    <w:rsid w:val="00E2554C"/>
    <w:rsid w:val="00E42BE8"/>
    <w:rsid w:val="00EB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05D596"/>
  <w15:docId w15:val="{9882A90D-6373-4751-A63F-F5FE128D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right="119" w:hanging="461"/>
      <w:jc w:val="righ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552"/>
    </w:pPr>
  </w:style>
  <w:style w:type="paragraph" w:styleId="Header">
    <w:name w:val="header"/>
    <w:basedOn w:val="Normal"/>
    <w:link w:val="HeaderChar"/>
    <w:uiPriority w:val="99"/>
    <w:unhideWhenUsed/>
    <w:rsid w:val="00D1714A"/>
    <w:pPr>
      <w:tabs>
        <w:tab w:val="center" w:pos="4680"/>
        <w:tab w:val="right" w:pos="9360"/>
      </w:tabs>
    </w:pPr>
  </w:style>
  <w:style w:type="character" w:customStyle="1" w:styleId="HeaderChar">
    <w:name w:val="Header Char"/>
    <w:basedOn w:val="DefaultParagraphFont"/>
    <w:link w:val="Header"/>
    <w:uiPriority w:val="99"/>
    <w:rsid w:val="00D1714A"/>
    <w:rPr>
      <w:rFonts w:ascii="Arial" w:eastAsia="Arial" w:hAnsi="Arial" w:cs="Arial"/>
      <w:lang w:bidi="en-US"/>
    </w:rPr>
  </w:style>
  <w:style w:type="paragraph" w:styleId="Footer">
    <w:name w:val="footer"/>
    <w:basedOn w:val="Normal"/>
    <w:link w:val="FooterChar"/>
    <w:uiPriority w:val="99"/>
    <w:unhideWhenUsed/>
    <w:rsid w:val="00D1714A"/>
    <w:pPr>
      <w:tabs>
        <w:tab w:val="center" w:pos="4680"/>
        <w:tab w:val="right" w:pos="9360"/>
      </w:tabs>
    </w:pPr>
  </w:style>
  <w:style w:type="character" w:customStyle="1" w:styleId="FooterChar">
    <w:name w:val="Footer Char"/>
    <w:basedOn w:val="DefaultParagraphFont"/>
    <w:link w:val="Footer"/>
    <w:uiPriority w:val="99"/>
    <w:rsid w:val="00D1714A"/>
    <w:rPr>
      <w:rFonts w:ascii="Arial" w:eastAsia="Arial" w:hAnsi="Arial" w:cs="Arial"/>
      <w:lang w:bidi="en-US"/>
    </w:rPr>
  </w:style>
  <w:style w:type="character" w:styleId="Hyperlink">
    <w:name w:val="Hyperlink"/>
    <w:basedOn w:val="DefaultParagraphFont"/>
    <w:uiPriority w:val="99"/>
    <w:semiHidden/>
    <w:unhideWhenUsed/>
    <w:rsid w:val="00237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Baltensperger, Katie</dc:creator>
  <cp:lastModifiedBy>Abel, Cindy</cp:lastModifiedBy>
  <cp:revision>2</cp:revision>
  <dcterms:created xsi:type="dcterms:W3CDTF">2021-03-17T21:14:00Z</dcterms:created>
  <dcterms:modified xsi:type="dcterms:W3CDTF">2021-03-17T21:14:00Z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Acrobat PDFMaker 19 for Word</vt:lpwstr>
  </property>
  <property fmtid="{D5CDD505-2E9C-101B-9397-08002B2CF9AE}" pid="4" name="LastSaved">
    <vt:filetime>2020-04-03T00:00:00Z</vt:filetime>
  </property>
</Properties>
</file>